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5A" w:rsidRPr="008E5BEB" w:rsidRDefault="00260FDA" w:rsidP="00683D5A">
      <w:pPr>
        <w:pStyle w:val="Bezodstpw"/>
        <w:jc w:val="center"/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</w:pPr>
      <w:r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  <w:t>Pracownia</w:t>
      </w:r>
      <w:r w:rsidR="00683D5A" w:rsidRPr="008E5BEB"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  <w:t xml:space="preserve"> Onomastyki Instytutu Języka Polskiego Polskiej Akademii Nauk 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</w:pPr>
      <w:r w:rsidRPr="008E5BEB"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  <w:t xml:space="preserve">Wydział Polonistyki Uniwersytetu Jagiellońskiego 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</w:pPr>
      <w:r w:rsidRPr="008E5BEB"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  <w:t>Towarzystwo Miłośników Języka Polskiego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</w:pPr>
      <w:r w:rsidRPr="008E5BEB">
        <w:rPr>
          <w:rFonts w:ascii="Tw Cen MT Condensed" w:hAnsi="Tw Cen MT Condensed" w:cstheme="minorHAnsi"/>
          <w:b/>
          <w:color w:val="948A54" w:themeColor="background2" w:themeShade="80"/>
          <w:sz w:val="24"/>
          <w:szCs w:val="24"/>
        </w:rPr>
        <w:t xml:space="preserve"> Polska Akademia Umiejętności</w:t>
      </w:r>
    </w:p>
    <w:p w:rsidR="00683D5A" w:rsidRPr="00435DEF" w:rsidRDefault="00683D5A" w:rsidP="00683D5A">
      <w:pPr>
        <w:pStyle w:val="Bezodstpw"/>
        <w:rPr>
          <w:rFonts w:ascii="Times New Roman" w:hAnsi="Times New Roman" w:cs="Times New Roman"/>
          <w:i/>
        </w:rPr>
      </w:pPr>
    </w:p>
    <w:p w:rsidR="00683D5A" w:rsidRPr="008E5BEB" w:rsidRDefault="00683D5A" w:rsidP="00683D5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E5BEB">
        <w:rPr>
          <w:rFonts w:ascii="Tw Cen MT Condensed" w:hAnsi="Tw Cen MT Condensed" w:cs="Times New Roman"/>
          <w:sz w:val="28"/>
          <w:szCs w:val="28"/>
        </w:rPr>
        <w:t>zapraszają w dniach 21-23 września 2016 roku do Krakowa na</w:t>
      </w:r>
    </w:p>
    <w:p w:rsidR="00683D5A" w:rsidRDefault="00683D5A" w:rsidP="00683D5A">
      <w:pPr>
        <w:pStyle w:val="Bezodstpw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</w:t>
      </w:r>
    </w:p>
    <w:p w:rsidR="00683D5A" w:rsidRPr="008E5BEB" w:rsidRDefault="00683D5A" w:rsidP="00683D5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2003"/>
        <w:jc w:val="center"/>
        <w:rPr>
          <w:rFonts w:ascii="Bodoni MT" w:hAnsi="Bodoni MT" w:cs="Times New Roman"/>
          <w:b/>
          <w:color w:val="F79646" w:themeColor="accent6"/>
          <w:sz w:val="28"/>
          <w:szCs w:val="28"/>
        </w:rPr>
      </w:pPr>
    </w:p>
    <w:p w:rsidR="00683D5A" w:rsidRPr="008E5BEB" w:rsidRDefault="00683D5A" w:rsidP="00683D5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2003"/>
        <w:jc w:val="center"/>
        <w:rPr>
          <w:rFonts w:ascii="Bodoni MT" w:hAnsi="Bodoni MT" w:cs="Times New Roman"/>
          <w:b/>
          <w:color w:val="F79646" w:themeColor="accent6"/>
          <w:sz w:val="28"/>
          <w:szCs w:val="28"/>
        </w:rPr>
      </w:pPr>
      <w:r w:rsidRPr="008E5BEB">
        <w:rPr>
          <w:rFonts w:ascii="Bodoni MT" w:hAnsi="Bodoni MT" w:cs="Times New Roman"/>
          <w:b/>
          <w:color w:val="F79646" w:themeColor="accent6"/>
          <w:sz w:val="28"/>
          <w:szCs w:val="28"/>
        </w:rPr>
        <w:t>XX MI</w:t>
      </w:r>
      <w:r w:rsidRPr="008E5BEB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Ę</w:t>
      </w:r>
      <w:r w:rsidRPr="008E5BEB">
        <w:rPr>
          <w:rFonts w:ascii="Bodoni MT" w:hAnsi="Bodoni MT" w:cs="Times New Roman"/>
          <w:b/>
          <w:color w:val="F79646" w:themeColor="accent6"/>
          <w:sz w:val="28"/>
          <w:szCs w:val="28"/>
        </w:rPr>
        <w:t>DZYNARODOW</w:t>
      </w:r>
      <w:r w:rsidRPr="008E5BEB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Ą</w:t>
      </w:r>
      <w:r w:rsidRPr="008E5BEB">
        <w:rPr>
          <w:rFonts w:ascii="Bodoni MT" w:hAnsi="Bodoni MT" w:cs="Times New Roman"/>
          <w:b/>
          <w:color w:val="F79646" w:themeColor="accent6"/>
          <w:sz w:val="28"/>
          <w:szCs w:val="28"/>
        </w:rPr>
        <w:t xml:space="preserve"> I OG</w:t>
      </w:r>
      <w:r w:rsidRPr="008E5BEB">
        <w:rPr>
          <w:rFonts w:ascii="Bodoni MT" w:hAnsi="Bodoni MT" w:cs="Lucida Handwriting"/>
          <w:b/>
          <w:color w:val="F79646" w:themeColor="accent6"/>
          <w:sz w:val="28"/>
          <w:szCs w:val="28"/>
        </w:rPr>
        <w:t>Ó</w:t>
      </w:r>
      <w:r w:rsidRPr="008E5BEB">
        <w:rPr>
          <w:rFonts w:ascii="Bodoni MT" w:hAnsi="Bodoni MT" w:cs="Times New Roman"/>
          <w:b/>
          <w:color w:val="F79646" w:themeColor="accent6"/>
          <w:sz w:val="28"/>
          <w:szCs w:val="28"/>
        </w:rPr>
        <w:t>LNOPOLSK</w:t>
      </w:r>
      <w:r w:rsidRPr="008E5BEB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Ą</w:t>
      </w:r>
      <w:r w:rsidRPr="008E5BEB">
        <w:rPr>
          <w:rFonts w:ascii="Bodoni MT" w:hAnsi="Bodoni MT" w:cs="Times New Roman"/>
          <w:b/>
          <w:color w:val="F79646" w:themeColor="accent6"/>
          <w:sz w:val="28"/>
          <w:szCs w:val="28"/>
        </w:rPr>
        <w:t xml:space="preserve"> </w:t>
      </w:r>
    </w:p>
    <w:p w:rsidR="00683D5A" w:rsidRPr="008E5BEB" w:rsidRDefault="00683D5A" w:rsidP="00683D5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2003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8E5BEB">
        <w:rPr>
          <w:rFonts w:ascii="Bodoni MT" w:hAnsi="Bodoni MT" w:cs="Times New Roman"/>
          <w:b/>
          <w:color w:val="F79646" w:themeColor="accent6"/>
          <w:sz w:val="28"/>
          <w:szCs w:val="28"/>
        </w:rPr>
        <w:t>KONFERENCJ</w:t>
      </w:r>
      <w:r w:rsidRPr="008E5BEB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Ę</w:t>
      </w:r>
      <w:r w:rsidRPr="008E5BEB">
        <w:rPr>
          <w:rFonts w:ascii="Bodoni MT" w:hAnsi="Bodoni MT" w:cs="Times New Roman"/>
          <w:b/>
          <w:color w:val="F79646" w:themeColor="accent6"/>
          <w:sz w:val="28"/>
          <w:szCs w:val="28"/>
        </w:rPr>
        <w:t xml:space="preserve"> ONOMASTYCZN</w:t>
      </w:r>
      <w:r w:rsidRPr="008E5BEB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Ą</w:t>
      </w:r>
    </w:p>
    <w:p w:rsidR="00683D5A" w:rsidRDefault="00683D5A" w:rsidP="00683D5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2003"/>
        <w:jc w:val="center"/>
        <w:rPr>
          <w:rFonts w:ascii="Bodoni MT" w:hAnsi="Bodoni MT" w:cs="Times New Roman"/>
          <w:b/>
          <w:color w:val="F79646" w:themeColor="accent6"/>
          <w:sz w:val="32"/>
          <w:szCs w:val="32"/>
        </w:rPr>
      </w:pPr>
    </w:p>
    <w:p w:rsidR="00683D5A" w:rsidRDefault="00683D5A" w:rsidP="00683D5A">
      <w:pPr>
        <w:pStyle w:val="Bezodstpw"/>
        <w:jc w:val="center"/>
        <w:rPr>
          <w:rFonts w:ascii="Lucida Handwriting" w:hAnsi="Lucida Handwriting" w:cs="Times New Roman"/>
          <w:b/>
          <w:sz w:val="24"/>
          <w:szCs w:val="24"/>
        </w:rPr>
      </w:pPr>
    </w:p>
    <w:p w:rsidR="00683D5A" w:rsidRPr="008E5BEB" w:rsidRDefault="00683D5A" w:rsidP="00683D5A">
      <w:pPr>
        <w:pStyle w:val="Bezodstpw"/>
        <w:jc w:val="center"/>
        <w:rPr>
          <w:rFonts w:ascii="Lucida Handwriting" w:hAnsi="Lucida Handwriting" w:cs="Times New Roman"/>
          <w:i/>
          <w:sz w:val="28"/>
          <w:szCs w:val="28"/>
        </w:rPr>
      </w:pPr>
      <w:r w:rsidRPr="008E5BEB">
        <w:rPr>
          <w:rFonts w:ascii="Calisto MT" w:hAnsi="Calisto MT" w:cs="Times New Roman"/>
          <w:i/>
          <w:color w:val="984806" w:themeColor="accent6" w:themeShade="80"/>
          <w:sz w:val="28"/>
          <w:szCs w:val="28"/>
        </w:rPr>
        <w:t xml:space="preserve">Onomastyka – </w:t>
      </w:r>
      <w:proofErr w:type="spellStart"/>
      <w:r w:rsidRPr="008E5BEB">
        <w:rPr>
          <w:rFonts w:ascii="Calisto MT" w:hAnsi="Calisto MT" w:cs="Times New Roman"/>
          <w:i/>
          <w:color w:val="984806" w:themeColor="accent6" w:themeShade="80"/>
          <w:sz w:val="28"/>
          <w:szCs w:val="28"/>
        </w:rPr>
        <w:t>Neohumanistyka</w:t>
      </w:r>
      <w:proofErr w:type="spellEnd"/>
      <w:r w:rsidRPr="008E5BEB">
        <w:rPr>
          <w:rFonts w:ascii="Calisto MT" w:hAnsi="Calisto MT" w:cs="Times New Roman"/>
          <w:i/>
          <w:color w:val="984806" w:themeColor="accent6" w:themeShade="80"/>
          <w:sz w:val="28"/>
          <w:szCs w:val="28"/>
        </w:rPr>
        <w:t xml:space="preserve"> – Nauki Spo</w:t>
      </w:r>
      <w:r w:rsidRPr="008E5BEB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ł</w:t>
      </w:r>
      <w:r w:rsidRPr="008E5BEB">
        <w:rPr>
          <w:rFonts w:ascii="Calisto MT" w:hAnsi="Calisto MT" w:cs="Times New Roman"/>
          <w:i/>
          <w:color w:val="984806" w:themeColor="accent6" w:themeShade="80"/>
          <w:sz w:val="28"/>
          <w:szCs w:val="28"/>
        </w:rPr>
        <w:t>eczne</w:t>
      </w:r>
    </w:p>
    <w:p w:rsidR="00683D5A" w:rsidRDefault="00683D5A" w:rsidP="00683D5A">
      <w:pPr>
        <w:pStyle w:val="Bezodstpw"/>
        <w:ind w:firstLine="708"/>
        <w:jc w:val="both"/>
        <w:rPr>
          <w:rFonts w:ascii="Tw Cen MT Condensed" w:hAnsi="Tw Cen MT Condensed" w:cs="Times New Roman"/>
          <w:sz w:val="28"/>
          <w:szCs w:val="28"/>
        </w:rPr>
      </w:pPr>
      <w:r>
        <w:rPr>
          <w:rFonts w:ascii="Tw Cen MT Condensed" w:hAnsi="Tw Cen MT Condensed" w:cs="Times New Roman"/>
          <w:sz w:val="28"/>
          <w:szCs w:val="28"/>
        </w:rPr>
        <w:t xml:space="preserve">                                                                        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sz w:val="24"/>
          <w:szCs w:val="24"/>
        </w:rPr>
        <w:t xml:space="preserve">Przedmiotem konferencji chcemy uczynić rolę i miejsce nazw własnych w szeroko rozumianym poznawaniu 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sz w:val="24"/>
          <w:szCs w:val="24"/>
        </w:rPr>
        <w:t>i kreowaniu świata, cywilizacji i kultury. Pragniemy podkreślić  interdyscyplinarność onomastyki, prześledzić jej ewolucję na przestrzeni wieków oraz określić jej obecną pozycję w naukach humanistycznych i społecznych, a także wskazać kierunki jej przyszłego rozwoju.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sz w:val="24"/>
          <w:szCs w:val="24"/>
        </w:rPr>
        <w:t xml:space="preserve">Konferencja będzie także okazją do uczczenia pamięci wybitnych językoznawców i onomastów – 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i/>
          <w:sz w:val="24"/>
          <w:szCs w:val="24"/>
        </w:rPr>
        <w:t>Jana Michała Rozwadowskiego</w:t>
      </w:r>
      <w:r w:rsidRPr="008E5BEB">
        <w:rPr>
          <w:rFonts w:ascii="Tw Cen MT Condensed" w:hAnsi="Tw Cen MT Condensed" w:cs="Times New Roman"/>
          <w:sz w:val="24"/>
          <w:szCs w:val="24"/>
        </w:rPr>
        <w:t xml:space="preserve">, </w:t>
      </w:r>
      <w:r w:rsidRPr="008E5BEB">
        <w:rPr>
          <w:rFonts w:ascii="Tw Cen MT Condensed" w:hAnsi="Tw Cen MT Condensed" w:cs="Times New Roman"/>
          <w:i/>
          <w:sz w:val="24"/>
          <w:szCs w:val="24"/>
        </w:rPr>
        <w:t>Franciszka Sławskiego</w:t>
      </w:r>
      <w:r w:rsidRPr="008E5BEB">
        <w:rPr>
          <w:rFonts w:ascii="Tw Cen MT Condensed" w:hAnsi="Tw Cen MT Condensed" w:cs="Times New Roman"/>
          <w:sz w:val="24"/>
          <w:szCs w:val="24"/>
        </w:rPr>
        <w:t xml:space="preserve">, </w:t>
      </w:r>
      <w:r w:rsidRPr="008E5BEB">
        <w:rPr>
          <w:rFonts w:ascii="Tw Cen MT Condensed" w:hAnsi="Tw Cen MT Condensed" w:cs="Times New Roman"/>
          <w:i/>
          <w:sz w:val="24"/>
          <w:szCs w:val="24"/>
        </w:rPr>
        <w:t xml:space="preserve">Kazimierz </w:t>
      </w:r>
      <w:proofErr w:type="spellStart"/>
      <w:r w:rsidRPr="008E5BEB">
        <w:rPr>
          <w:rFonts w:ascii="Tw Cen MT Condensed" w:hAnsi="Tw Cen MT Condensed" w:cs="Times New Roman"/>
          <w:i/>
          <w:sz w:val="24"/>
          <w:szCs w:val="24"/>
        </w:rPr>
        <w:t>Rymuta</w:t>
      </w:r>
      <w:proofErr w:type="spellEnd"/>
      <w:r w:rsidRPr="008E5BEB">
        <w:rPr>
          <w:rFonts w:ascii="Tw Cen MT Condensed" w:hAnsi="Tw Cen MT Condensed" w:cs="Times New Roman"/>
          <w:sz w:val="24"/>
          <w:szCs w:val="24"/>
        </w:rPr>
        <w:t xml:space="preserve"> 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sz w:val="24"/>
          <w:szCs w:val="24"/>
        </w:rPr>
        <w:t>oraz jubileuszu osiemdziesięciolecia urodzin profesor</w:t>
      </w:r>
      <w:r w:rsidRPr="008E5BEB">
        <w:rPr>
          <w:rFonts w:ascii="Tw Cen MT Condensed" w:hAnsi="Tw Cen MT Condensed" w:cs="Times New Roman"/>
          <w:i/>
          <w:sz w:val="24"/>
          <w:szCs w:val="24"/>
        </w:rPr>
        <w:t xml:space="preserve"> Aleksandry Cieślikowej</w:t>
      </w:r>
      <w:r w:rsidRPr="008E5BEB">
        <w:rPr>
          <w:rFonts w:ascii="Tw Cen MT Condensed" w:hAnsi="Tw Cen MT Condensed" w:cs="Times New Roman"/>
          <w:sz w:val="24"/>
          <w:szCs w:val="24"/>
        </w:rPr>
        <w:t>.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sz w:val="24"/>
          <w:szCs w:val="24"/>
        </w:rPr>
        <w:t xml:space="preserve">W 2016 roku przypada także sześćdziesiąta rocznica opublikowania pierwszego numeru czasopisma </w:t>
      </w:r>
      <w:proofErr w:type="spellStart"/>
      <w:r w:rsidRPr="008E5BEB">
        <w:rPr>
          <w:rFonts w:ascii="Tw Cen MT Condensed" w:hAnsi="Tw Cen MT Condensed" w:cs="Times New Roman"/>
          <w:i/>
          <w:sz w:val="24"/>
          <w:szCs w:val="24"/>
        </w:rPr>
        <w:t>Onomastica</w:t>
      </w:r>
      <w:proofErr w:type="spellEnd"/>
      <w:r w:rsidRPr="008E5BEB">
        <w:rPr>
          <w:rFonts w:ascii="Tw Cen MT Condensed" w:hAnsi="Tw Cen MT Condensed" w:cs="Times New Roman"/>
          <w:sz w:val="24"/>
          <w:szCs w:val="24"/>
        </w:rPr>
        <w:t xml:space="preserve">, wychodzącego nieprzerwanie w Krakowie z inicjatywy profesora </w:t>
      </w:r>
      <w:r w:rsidRPr="008E5BEB">
        <w:rPr>
          <w:rFonts w:ascii="Tw Cen MT Condensed" w:hAnsi="Tw Cen MT Condensed" w:cs="Times New Roman"/>
          <w:i/>
          <w:sz w:val="24"/>
          <w:szCs w:val="24"/>
        </w:rPr>
        <w:t>Witolda Taszyckiego</w:t>
      </w:r>
      <w:r w:rsidRPr="008E5BEB">
        <w:rPr>
          <w:rFonts w:ascii="Tw Cen MT Condensed" w:hAnsi="Tw Cen MT Condensed" w:cs="Times New Roman"/>
          <w:sz w:val="24"/>
          <w:szCs w:val="24"/>
        </w:rPr>
        <w:t xml:space="preserve"> 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sz w:val="24"/>
          <w:szCs w:val="24"/>
        </w:rPr>
        <w:t>oraz 1050 rocznica chrztu Polski.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sz w:val="24"/>
          <w:szCs w:val="24"/>
        </w:rPr>
        <w:t xml:space="preserve">Organizowana przez nas konferencja jest dwudziestą cykliczną konferencją onomastyczną, </w:t>
      </w:r>
    </w:p>
    <w:p w:rsidR="00683D5A" w:rsidRPr="008E5BEB" w:rsidRDefault="00683D5A" w:rsidP="00683D5A">
      <w:pPr>
        <w:pStyle w:val="Bezodstpw"/>
        <w:jc w:val="center"/>
        <w:rPr>
          <w:rFonts w:ascii="Tw Cen MT Condensed" w:hAnsi="Tw Cen MT Condensed" w:cs="Times New Roman"/>
          <w:sz w:val="24"/>
          <w:szCs w:val="24"/>
        </w:rPr>
      </w:pPr>
      <w:r w:rsidRPr="008E5BEB">
        <w:rPr>
          <w:rFonts w:ascii="Tw Cen MT Condensed" w:hAnsi="Tw Cen MT Condensed" w:cs="Times New Roman"/>
          <w:sz w:val="24"/>
          <w:szCs w:val="24"/>
        </w:rPr>
        <w:t>co nadaje jej jubileuszowy charakter.</w:t>
      </w:r>
    </w:p>
    <w:p w:rsidR="00683D5A" w:rsidRPr="00435DEF" w:rsidRDefault="00683D5A" w:rsidP="00683D5A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83D5A" w:rsidRPr="008E5BEB" w:rsidRDefault="00683D5A" w:rsidP="00683D5A">
      <w:pPr>
        <w:pStyle w:val="Bezodstpw"/>
        <w:jc w:val="center"/>
        <w:rPr>
          <w:rFonts w:ascii="Gill Sans MT Condensed" w:hAnsi="Gill Sans MT Condensed" w:cs="Times New Roman"/>
          <w:b/>
          <w:color w:val="984806" w:themeColor="accent6" w:themeShade="80"/>
          <w:sz w:val="28"/>
          <w:szCs w:val="28"/>
        </w:rPr>
      </w:pPr>
      <w:r w:rsidRPr="008E5BEB">
        <w:rPr>
          <w:rFonts w:ascii="Gill Sans MT Condensed" w:hAnsi="Gill Sans MT Condensed" w:cs="Times New Roman"/>
          <w:b/>
          <w:color w:val="984806" w:themeColor="accent6" w:themeShade="80"/>
          <w:sz w:val="28"/>
          <w:szCs w:val="28"/>
        </w:rPr>
        <w:t>Proponujemy następujące bloki tematyczne:</w:t>
      </w:r>
    </w:p>
    <w:p w:rsidR="00683D5A" w:rsidRPr="00435DEF" w:rsidRDefault="00683D5A" w:rsidP="00683D5A">
      <w:pPr>
        <w:pStyle w:val="Bezodstpw"/>
        <w:jc w:val="center"/>
        <w:rPr>
          <w:rFonts w:ascii="Franklin Gothic Medium Cond" w:hAnsi="Franklin Gothic Medium Cond" w:cs="Times New Roman"/>
          <w:color w:val="984806" w:themeColor="accent6" w:themeShade="80"/>
          <w:sz w:val="16"/>
          <w:szCs w:val="16"/>
        </w:rPr>
      </w:pP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- </w:t>
      </w:r>
      <w:proofErr w:type="spellStart"/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onimy</w:t>
      </w:r>
      <w:proofErr w:type="spellEnd"/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 xml:space="preserve"> w poznawaniu i postrzeganiu świata;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- nazwy własne a religia;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 xml:space="preserve">- najstarsze, zapisane </w:t>
      </w:r>
      <w:proofErr w:type="spellStart"/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onimy</w:t>
      </w:r>
      <w:proofErr w:type="spellEnd"/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 xml:space="preserve"> i ich znaczenie dla rozwoju państwa polskiego 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i języka narodowego;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- wielokulturowość i monokulturowość a nazwy własne;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- perspektywy rozwoju onomastyki na tle innych nauk humanistycznych i społecznych;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- nazewnictwo w kulturze i sztuce;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- nazwy własne  w różnych systemach politycznych;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- onomastyka a semiotyka;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- globalizacja a tożsamość lokalna w aspekcie nazewniczym;</w:t>
      </w:r>
    </w:p>
    <w:p w:rsidR="00683D5A" w:rsidRPr="008E5BEB" w:rsidRDefault="00683D5A" w:rsidP="00683D5A">
      <w:pPr>
        <w:pStyle w:val="Bezodstpw"/>
        <w:jc w:val="center"/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</w:pP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- podsumowanie dorobku polskiej i słowiańsk</w:t>
      </w:r>
      <w:r w:rsidR="00E13454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iej onomastyki</w:t>
      </w:r>
      <w:r w:rsidRPr="008E5BEB">
        <w:rPr>
          <w:rFonts w:ascii="Franklin Gothic Book" w:hAnsi="Franklin Gothic Book" w:cs="Times New Roman"/>
          <w:b/>
          <w:color w:val="984806" w:themeColor="accent6" w:themeShade="80"/>
          <w:sz w:val="20"/>
          <w:szCs w:val="20"/>
        </w:rPr>
        <w:t>.</w:t>
      </w:r>
    </w:p>
    <w:p w:rsidR="00683D5A" w:rsidRDefault="00683D5A" w:rsidP="00683D5A">
      <w:pPr>
        <w:pStyle w:val="Bezodstpw"/>
        <w:ind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683D5A" w:rsidRPr="008E5BEB" w:rsidRDefault="00683D5A" w:rsidP="00683D5A">
      <w:pPr>
        <w:pStyle w:val="Bezodstpw"/>
        <w:jc w:val="center"/>
        <w:rPr>
          <w:rFonts w:ascii="Verdana" w:hAnsi="Verdana" w:cs="Times New Roman"/>
          <w:b/>
          <w:color w:val="432003"/>
          <w:sz w:val="20"/>
          <w:szCs w:val="20"/>
        </w:rPr>
      </w:pPr>
      <w:r w:rsidRPr="008E5BEB">
        <w:rPr>
          <w:rFonts w:ascii="Verdana" w:hAnsi="Verdana" w:cs="Times New Roman"/>
          <w:b/>
          <w:color w:val="432003"/>
          <w:sz w:val="20"/>
          <w:szCs w:val="20"/>
        </w:rPr>
        <w:t>Do dyskusji serdecznie zapraszamy nie tylko językoznawców-onomastów, ale także przedstawicieli innych dyscyplin naukowych.</w:t>
      </w:r>
    </w:p>
    <w:p w:rsidR="00683D5A" w:rsidRDefault="00683D5A" w:rsidP="00683D5A">
      <w:pPr>
        <w:pStyle w:val="Bezodstpw"/>
        <w:jc w:val="center"/>
        <w:rPr>
          <w:rFonts w:ascii="Verdana" w:hAnsi="Verdana" w:cs="Times New Roman"/>
          <w:b/>
          <w:color w:val="1F497D" w:themeColor="text2"/>
          <w:sz w:val="24"/>
          <w:szCs w:val="24"/>
        </w:rPr>
      </w:pPr>
    </w:p>
    <w:p w:rsidR="00683D5A" w:rsidRPr="00683D5A" w:rsidRDefault="00683D5A" w:rsidP="00683D5A">
      <w:pPr>
        <w:pStyle w:val="Bezodstpw"/>
        <w:rPr>
          <w:rFonts w:ascii="Mistral" w:hAnsi="Mistral"/>
          <w:b/>
          <w:color w:val="432003"/>
          <w:sz w:val="16"/>
          <w:szCs w:val="16"/>
        </w:rPr>
      </w:pPr>
      <w:r w:rsidRPr="00683D5A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115570</wp:posOffset>
            </wp:positionV>
            <wp:extent cx="1820545" cy="849630"/>
            <wp:effectExtent l="0" t="0" r="8255" b="7620"/>
            <wp:wrapTight wrapText="right">
              <wp:wrapPolygon edited="0">
                <wp:start x="0" y="0"/>
                <wp:lineTo x="0" y="21309"/>
                <wp:lineTo x="21472" y="21309"/>
                <wp:lineTo x="2147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D5A" w:rsidRPr="00683D5A" w:rsidRDefault="00683D5A" w:rsidP="008E5BEB">
      <w:pPr>
        <w:pStyle w:val="Bezodstpw"/>
        <w:ind w:left="708"/>
        <w:rPr>
          <w:rFonts w:ascii="Mistral" w:hAnsi="Mistral"/>
          <w:b/>
          <w:color w:val="432003"/>
          <w:sz w:val="16"/>
          <w:szCs w:val="16"/>
        </w:rPr>
      </w:pPr>
      <w:r w:rsidRPr="00683D5A">
        <w:rPr>
          <w:rFonts w:ascii="Mistral" w:hAnsi="Mistral"/>
          <w:b/>
          <w:color w:val="432003"/>
          <w:sz w:val="16"/>
          <w:szCs w:val="16"/>
        </w:rPr>
        <w:t>XX</w:t>
      </w:r>
    </w:p>
    <w:p w:rsidR="00683D5A" w:rsidRPr="00683D5A" w:rsidRDefault="00683D5A" w:rsidP="00683D5A">
      <w:pPr>
        <w:pStyle w:val="Bezodstpw"/>
        <w:rPr>
          <w:rFonts w:ascii="Mistral" w:hAnsi="Mistral"/>
          <w:b/>
          <w:color w:val="432003"/>
          <w:sz w:val="16"/>
          <w:szCs w:val="16"/>
        </w:rPr>
      </w:pPr>
      <w:r w:rsidRPr="00683D5A">
        <w:rPr>
          <w:rFonts w:ascii="Mistral" w:hAnsi="Mistral"/>
          <w:b/>
          <w:color w:val="432003"/>
          <w:sz w:val="16"/>
          <w:szCs w:val="16"/>
        </w:rPr>
        <w:t>MI</w:t>
      </w:r>
      <w:r w:rsidRPr="00683D5A">
        <w:rPr>
          <w:rFonts w:ascii="Mistral" w:hAnsi="Mistral" w:cs="Times New Roman"/>
          <w:b/>
          <w:color w:val="432003"/>
          <w:sz w:val="16"/>
          <w:szCs w:val="16"/>
        </w:rPr>
        <w:t>Ę</w:t>
      </w:r>
      <w:r w:rsidRPr="00683D5A">
        <w:rPr>
          <w:rFonts w:ascii="Mistral" w:hAnsi="Mistral"/>
          <w:b/>
          <w:color w:val="432003"/>
          <w:sz w:val="16"/>
          <w:szCs w:val="16"/>
        </w:rPr>
        <w:t>DZYNARODOWA</w:t>
      </w:r>
    </w:p>
    <w:p w:rsidR="00683D5A" w:rsidRPr="00683D5A" w:rsidRDefault="00683D5A" w:rsidP="00683D5A">
      <w:pPr>
        <w:pStyle w:val="Bezodstpw"/>
        <w:rPr>
          <w:rFonts w:ascii="Mistral" w:hAnsi="Mistral"/>
          <w:b/>
          <w:color w:val="432003"/>
          <w:sz w:val="16"/>
          <w:szCs w:val="16"/>
        </w:rPr>
      </w:pPr>
      <w:r w:rsidRPr="00683D5A">
        <w:rPr>
          <w:rFonts w:ascii="Mistral" w:hAnsi="Mistral"/>
          <w:b/>
          <w:color w:val="432003"/>
          <w:sz w:val="16"/>
          <w:szCs w:val="16"/>
        </w:rPr>
        <w:t>I OG</w:t>
      </w:r>
      <w:r w:rsidRPr="00683D5A">
        <w:rPr>
          <w:rFonts w:ascii="Mistral" w:hAnsi="Mistral" w:cs="Freestyle Script"/>
          <w:b/>
          <w:color w:val="432003"/>
          <w:sz w:val="16"/>
          <w:szCs w:val="16"/>
        </w:rPr>
        <w:t>Ó</w:t>
      </w:r>
      <w:r w:rsidRPr="00683D5A">
        <w:rPr>
          <w:rFonts w:ascii="Mistral" w:hAnsi="Mistral"/>
          <w:b/>
          <w:color w:val="432003"/>
          <w:sz w:val="16"/>
          <w:szCs w:val="16"/>
        </w:rPr>
        <w:t>LNOPOLSKA</w:t>
      </w:r>
    </w:p>
    <w:p w:rsidR="00683D5A" w:rsidRPr="00683D5A" w:rsidRDefault="00683D5A" w:rsidP="00683D5A">
      <w:pPr>
        <w:pStyle w:val="Bezodstpw"/>
        <w:rPr>
          <w:color w:val="432003"/>
          <w:sz w:val="16"/>
          <w:szCs w:val="16"/>
        </w:rPr>
      </w:pPr>
      <w:r w:rsidRPr="00683D5A">
        <w:rPr>
          <w:rFonts w:ascii="Mistral" w:hAnsi="Mistral"/>
          <w:b/>
          <w:color w:val="432003"/>
          <w:sz w:val="16"/>
          <w:szCs w:val="16"/>
        </w:rPr>
        <w:t>KONFERENCJA ONOMASTYCZNA</w:t>
      </w:r>
      <w:bookmarkStart w:id="0" w:name="_GoBack"/>
      <w:bookmarkEnd w:id="0"/>
    </w:p>
    <w:p w:rsidR="00683D5A" w:rsidRPr="00683D5A" w:rsidRDefault="00683D5A" w:rsidP="00683D5A">
      <w:pPr>
        <w:pStyle w:val="Bezodstpw"/>
        <w:rPr>
          <w:color w:val="432003"/>
          <w:sz w:val="16"/>
          <w:szCs w:val="16"/>
        </w:rPr>
      </w:pPr>
    </w:p>
    <w:p w:rsidR="00683D5A" w:rsidRPr="00683D5A" w:rsidRDefault="00683D5A" w:rsidP="00683D5A">
      <w:pPr>
        <w:pStyle w:val="Bezodstpw"/>
        <w:rPr>
          <w:rFonts w:ascii="Mistral" w:hAnsi="Mistral"/>
          <w:color w:val="432003"/>
          <w:sz w:val="16"/>
          <w:szCs w:val="16"/>
        </w:rPr>
      </w:pPr>
      <w:r w:rsidRPr="00683D5A">
        <w:rPr>
          <w:rFonts w:ascii="Mistral" w:hAnsi="Mistral"/>
          <w:color w:val="432003"/>
          <w:sz w:val="16"/>
          <w:szCs w:val="16"/>
        </w:rPr>
        <w:t xml:space="preserve">KRAKÓW </w:t>
      </w:r>
    </w:p>
    <w:p w:rsidR="00683D5A" w:rsidRDefault="00683D5A" w:rsidP="002968B2">
      <w:pPr>
        <w:pStyle w:val="Bezodstpw"/>
        <w:rPr>
          <w:rFonts w:ascii="Mistral" w:hAnsi="Mistral"/>
          <w:color w:val="432003"/>
          <w:sz w:val="16"/>
          <w:szCs w:val="16"/>
        </w:rPr>
      </w:pPr>
      <w:r w:rsidRPr="00683D5A">
        <w:rPr>
          <w:rFonts w:ascii="Mistral" w:hAnsi="Mistral"/>
          <w:color w:val="432003"/>
          <w:sz w:val="16"/>
          <w:szCs w:val="16"/>
        </w:rPr>
        <w:t>2016</w:t>
      </w:r>
    </w:p>
    <w:p w:rsidR="00435DEF" w:rsidRDefault="00435DEF" w:rsidP="00435DEF">
      <w:pPr>
        <w:ind w:left="2124"/>
        <w:rPr>
          <w:sz w:val="16"/>
          <w:szCs w:val="16"/>
        </w:rPr>
      </w:pPr>
    </w:p>
    <w:p w:rsidR="00435DEF" w:rsidRPr="00435DEF" w:rsidRDefault="00435DEF" w:rsidP="00435DEF">
      <w:pPr>
        <w:ind w:left="2124"/>
        <w:rPr>
          <w:color w:val="984806" w:themeColor="accent6" w:themeShade="80"/>
          <w:sz w:val="18"/>
          <w:szCs w:val="18"/>
        </w:rPr>
      </w:pPr>
      <w:r w:rsidRPr="00435DEF">
        <w:rPr>
          <w:color w:val="984806" w:themeColor="accent6" w:themeShade="80"/>
          <w:sz w:val="18"/>
          <w:szCs w:val="18"/>
        </w:rPr>
        <w:t xml:space="preserve">     strona www: xxmioko.ijp-pan.krakow.pl</w:t>
      </w:r>
    </w:p>
    <w:p w:rsidR="00435DEF" w:rsidRPr="00435DEF" w:rsidRDefault="00435DEF" w:rsidP="00435DEF">
      <w:pPr>
        <w:ind w:left="1416" w:firstLine="708"/>
        <w:rPr>
          <w:color w:val="984806" w:themeColor="accent6" w:themeShade="80"/>
          <w:lang w:val="en-US"/>
        </w:rPr>
      </w:pPr>
      <w:r w:rsidRPr="00435DEF">
        <w:rPr>
          <w:color w:val="984806" w:themeColor="accent6" w:themeShade="80"/>
          <w:sz w:val="18"/>
          <w:szCs w:val="18"/>
        </w:rPr>
        <w:t xml:space="preserve">     </w:t>
      </w:r>
      <w:proofErr w:type="spellStart"/>
      <w:r w:rsidRPr="00435DEF">
        <w:rPr>
          <w:color w:val="984806" w:themeColor="accent6" w:themeShade="80"/>
          <w:sz w:val="18"/>
          <w:szCs w:val="18"/>
          <w:lang w:val="en-US"/>
        </w:rPr>
        <w:t>adres</w:t>
      </w:r>
      <w:proofErr w:type="spellEnd"/>
      <w:r w:rsidRPr="00435DEF">
        <w:rPr>
          <w:color w:val="984806" w:themeColor="accent6" w:themeShade="80"/>
          <w:sz w:val="18"/>
          <w:szCs w:val="18"/>
          <w:lang w:val="en-US"/>
        </w:rPr>
        <w:t xml:space="preserve"> e-mail: </w:t>
      </w:r>
      <w:hyperlink r:id="rId5" w:history="1">
        <w:r w:rsidRPr="00435DEF">
          <w:rPr>
            <w:rStyle w:val="Hipercze"/>
            <w:color w:val="984806" w:themeColor="accent6" w:themeShade="80"/>
            <w:sz w:val="18"/>
            <w:szCs w:val="18"/>
            <w:lang w:val="en-US"/>
          </w:rPr>
          <w:t>xxmioko@ijp-pan.krakow.pl</w:t>
        </w:r>
      </w:hyperlink>
    </w:p>
    <w:sectPr w:rsidR="00435DEF" w:rsidRPr="00435DEF" w:rsidSect="0024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w Cen MT Condensed">
    <w:altName w:val="Arial Narrow"/>
    <w:charset w:val="EE"/>
    <w:family w:val="swiss"/>
    <w:pitch w:val="variable"/>
    <w:sig w:usb0="00000007" w:usb1="00000000" w:usb2="00000000" w:usb3="00000000" w:csb0="00000003" w:csb1="00000000"/>
  </w:font>
  <w:font w:name="Bodoni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ill Sans MT Condensed">
    <w:altName w:val="Arial Narrow"/>
    <w:charset w:val="EE"/>
    <w:family w:val="swiss"/>
    <w:pitch w:val="variable"/>
    <w:sig w:usb0="00000007" w:usb1="00000000" w:usb2="00000000" w:usb3="00000000" w:csb0="00000003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A26"/>
    <w:rsid w:val="00240CCD"/>
    <w:rsid w:val="00260FDA"/>
    <w:rsid w:val="002968B2"/>
    <w:rsid w:val="002B51DE"/>
    <w:rsid w:val="003911EA"/>
    <w:rsid w:val="00435DEF"/>
    <w:rsid w:val="0044483A"/>
    <w:rsid w:val="00664A2F"/>
    <w:rsid w:val="00683D5A"/>
    <w:rsid w:val="008E5BEB"/>
    <w:rsid w:val="00D52A26"/>
    <w:rsid w:val="00E1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D5A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435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D5A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435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mioko@ijp-pan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IJP PAN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Magda-Czekaj</dc:creator>
  <cp:keywords/>
  <dc:description/>
  <cp:lastModifiedBy>PIOTR</cp:lastModifiedBy>
  <cp:revision>2</cp:revision>
  <dcterms:created xsi:type="dcterms:W3CDTF">2016-01-17T15:13:00Z</dcterms:created>
  <dcterms:modified xsi:type="dcterms:W3CDTF">2016-01-17T15:13:00Z</dcterms:modified>
</cp:coreProperties>
</file>