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C85C5" w14:textId="21DE3FF1" w:rsidR="008A683C" w:rsidRPr="00A218AF" w:rsidRDefault="00A218AF" w:rsidP="00EE2D4F">
      <w:pPr>
        <w:rPr>
          <w:b/>
          <w:lang w:val="en-GB"/>
        </w:rPr>
      </w:pPr>
      <w:bookmarkStart w:id="0" w:name="_GoBack"/>
      <w:bookmarkEnd w:id="0"/>
      <w:r w:rsidRPr="00A218AF">
        <w:rPr>
          <w:b/>
          <w:lang w:val="en-GB"/>
        </w:rPr>
        <w:t>Invitation</w:t>
      </w:r>
    </w:p>
    <w:p w14:paraId="1B64A9BD" w14:textId="77777777" w:rsidR="008A683C" w:rsidRPr="00E84312" w:rsidRDefault="008A683C" w:rsidP="00EE2D4F">
      <w:pPr>
        <w:rPr>
          <w:sz w:val="22"/>
          <w:szCs w:val="22"/>
          <w:lang w:val="en-GB"/>
        </w:rPr>
      </w:pPr>
      <w:r w:rsidRPr="00E84312">
        <w:rPr>
          <w:sz w:val="22"/>
          <w:szCs w:val="22"/>
          <w:lang w:val="en-GB"/>
        </w:rPr>
        <w:t xml:space="preserve">RDA is an international member based organization focused on the development of infrastructure and community activities that reduce barriers to data sharing and exchange, and the acceleration of data driven innovation worldwide. With more than 4,670 members globally representing 115 countries, RDA includes </w:t>
      </w:r>
      <w:r w:rsidRPr="00E84312">
        <w:rPr>
          <w:b/>
          <w:bCs/>
          <w:sz w:val="22"/>
          <w:szCs w:val="22"/>
          <w:lang w:val="en-GB"/>
        </w:rPr>
        <w:t xml:space="preserve">data science professionals </w:t>
      </w:r>
      <w:r w:rsidRPr="00E84312">
        <w:rPr>
          <w:sz w:val="22"/>
          <w:szCs w:val="22"/>
          <w:lang w:val="en-GB"/>
        </w:rPr>
        <w:t>from multiple disciplines, including but not limited to academia, library sciences, earth science, astronomy and meteorology.</w:t>
      </w:r>
    </w:p>
    <w:p w14:paraId="7FD082F6" w14:textId="77777777" w:rsidR="008A683C" w:rsidRPr="00E84312" w:rsidRDefault="008A683C" w:rsidP="008A683C">
      <w:pPr>
        <w:rPr>
          <w:sz w:val="22"/>
          <w:szCs w:val="22"/>
          <w:lang w:val="en-GB"/>
        </w:rPr>
      </w:pPr>
      <w:r w:rsidRPr="00E84312">
        <w:rPr>
          <w:b/>
          <w:bCs/>
          <w:i/>
          <w:iCs/>
          <w:sz w:val="22"/>
          <w:szCs w:val="22"/>
          <w:lang w:val="en-GB"/>
        </w:rPr>
        <w:t>RDA is building the social and technical bridges that enable open sharing of data to achieve its vision of researchers and innovators openly sharing data across technologies, disciplines, and countries to address the grand challenges of society.</w:t>
      </w:r>
    </w:p>
    <w:p w14:paraId="7D3D0642" w14:textId="77777777" w:rsidR="008A683C" w:rsidRPr="00A218AF" w:rsidRDefault="008A683C" w:rsidP="00EE2D4F">
      <w:pPr>
        <w:rPr>
          <w:b/>
          <w:lang w:val="en-GB"/>
        </w:rPr>
      </w:pPr>
      <w:r w:rsidRPr="00A218AF">
        <w:rPr>
          <w:b/>
          <w:lang w:val="en-GB"/>
        </w:rPr>
        <w:t>Program:</w:t>
      </w:r>
    </w:p>
    <w:tbl>
      <w:tblPr>
        <w:tblStyle w:val="Tabela-Siatka"/>
        <w:tblW w:w="0" w:type="auto"/>
        <w:tblLook w:val="04A0" w:firstRow="1" w:lastRow="0" w:firstColumn="1" w:lastColumn="0" w:noHBand="0" w:noVBand="1"/>
      </w:tblPr>
      <w:tblGrid>
        <w:gridCol w:w="1552"/>
        <w:gridCol w:w="8080"/>
      </w:tblGrid>
      <w:tr w:rsidR="00D30697" w:rsidRPr="00E84312" w14:paraId="4E45427C" w14:textId="77777777" w:rsidTr="00C17BBC">
        <w:tc>
          <w:tcPr>
            <w:tcW w:w="1552" w:type="dxa"/>
            <w:tcBorders>
              <w:top w:val="nil"/>
              <w:left w:val="nil"/>
              <w:bottom w:val="nil"/>
              <w:right w:val="nil"/>
            </w:tcBorders>
          </w:tcPr>
          <w:p w14:paraId="29260B96" w14:textId="77777777" w:rsidR="008A683C" w:rsidRPr="00E84312" w:rsidRDefault="008A683C" w:rsidP="00EE2D4F">
            <w:pPr>
              <w:rPr>
                <w:sz w:val="22"/>
                <w:szCs w:val="22"/>
                <w:lang w:val="en-GB"/>
              </w:rPr>
            </w:pPr>
            <w:r w:rsidRPr="00E84312">
              <w:rPr>
                <w:sz w:val="22"/>
                <w:szCs w:val="22"/>
                <w:lang w:val="en-GB"/>
              </w:rPr>
              <w:t>12:00-12:30</w:t>
            </w:r>
          </w:p>
        </w:tc>
        <w:tc>
          <w:tcPr>
            <w:tcW w:w="8080" w:type="dxa"/>
            <w:tcBorders>
              <w:top w:val="nil"/>
              <w:left w:val="nil"/>
              <w:bottom w:val="nil"/>
              <w:right w:val="nil"/>
            </w:tcBorders>
          </w:tcPr>
          <w:p w14:paraId="33974BD7" w14:textId="77777777" w:rsidR="008A683C" w:rsidRPr="00E84312" w:rsidRDefault="008A683C" w:rsidP="00EE2D4F">
            <w:pPr>
              <w:rPr>
                <w:sz w:val="22"/>
                <w:szCs w:val="22"/>
                <w:lang w:val="en-GB"/>
              </w:rPr>
            </w:pPr>
            <w:r w:rsidRPr="00E84312">
              <w:rPr>
                <w:sz w:val="22"/>
                <w:szCs w:val="22"/>
                <w:lang w:val="en-GB"/>
              </w:rPr>
              <w:t>Registration</w:t>
            </w:r>
          </w:p>
        </w:tc>
      </w:tr>
      <w:tr w:rsidR="00D30697" w:rsidRPr="00E84312" w14:paraId="17B26932" w14:textId="77777777" w:rsidTr="00C17BBC">
        <w:tc>
          <w:tcPr>
            <w:tcW w:w="1552" w:type="dxa"/>
            <w:tcBorders>
              <w:top w:val="nil"/>
              <w:left w:val="nil"/>
              <w:bottom w:val="nil"/>
              <w:right w:val="nil"/>
            </w:tcBorders>
          </w:tcPr>
          <w:p w14:paraId="52145E8C" w14:textId="77777777" w:rsidR="008A683C" w:rsidRPr="00E84312" w:rsidRDefault="00F458F1" w:rsidP="00EE2D4F">
            <w:pPr>
              <w:rPr>
                <w:sz w:val="22"/>
                <w:szCs w:val="22"/>
                <w:lang w:val="en-GB"/>
              </w:rPr>
            </w:pPr>
            <w:r w:rsidRPr="00E84312">
              <w:rPr>
                <w:sz w:val="22"/>
                <w:szCs w:val="22"/>
                <w:lang w:val="en-GB"/>
              </w:rPr>
              <w:t>12:30-12:40</w:t>
            </w:r>
          </w:p>
        </w:tc>
        <w:tc>
          <w:tcPr>
            <w:tcW w:w="8080" w:type="dxa"/>
            <w:tcBorders>
              <w:top w:val="nil"/>
              <w:left w:val="nil"/>
              <w:bottom w:val="nil"/>
              <w:right w:val="nil"/>
            </w:tcBorders>
          </w:tcPr>
          <w:p w14:paraId="727BEFFB" w14:textId="3A1F2984" w:rsidR="008A683C" w:rsidRPr="00E84312" w:rsidRDefault="00F458F1" w:rsidP="00EE2D4F">
            <w:pPr>
              <w:rPr>
                <w:sz w:val="22"/>
                <w:szCs w:val="22"/>
                <w:lang w:val="en-GB"/>
              </w:rPr>
            </w:pPr>
            <w:r w:rsidRPr="00E84312">
              <w:rPr>
                <w:sz w:val="22"/>
                <w:szCs w:val="22"/>
                <w:lang w:val="en-GB"/>
              </w:rPr>
              <w:t xml:space="preserve">Welcoming words, Leif </w:t>
            </w:r>
            <w:proofErr w:type="spellStart"/>
            <w:r w:rsidRPr="00E84312">
              <w:rPr>
                <w:sz w:val="22"/>
                <w:szCs w:val="22"/>
                <w:lang w:val="en-GB"/>
              </w:rPr>
              <w:t>Laaksonen</w:t>
            </w:r>
            <w:proofErr w:type="spellEnd"/>
            <w:r w:rsidRPr="00E84312">
              <w:rPr>
                <w:sz w:val="22"/>
                <w:szCs w:val="22"/>
                <w:lang w:val="en-GB"/>
              </w:rPr>
              <w:t xml:space="preserve"> (RDA), </w:t>
            </w:r>
            <w:r w:rsidR="00C17BBC" w:rsidRPr="00E84312">
              <w:rPr>
                <w:sz w:val="22"/>
                <w:szCs w:val="22"/>
                <w:lang w:val="en-GB"/>
              </w:rPr>
              <w:t xml:space="preserve">Marek </w:t>
            </w:r>
            <w:proofErr w:type="spellStart"/>
            <w:r w:rsidR="00C17BBC" w:rsidRPr="00E84312">
              <w:rPr>
                <w:sz w:val="22"/>
                <w:szCs w:val="22"/>
                <w:lang w:val="en-GB"/>
              </w:rPr>
              <w:t>Niezgó</w:t>
            </w:r>
            <w:r w:rsidR="00FE63BA" w:rsidRPr="00E84312">
              <w:rPr>
                <w:sz w:val="22"/>
                <w:szCs w:val="22"/>
                <w:lang w:val="en-GB"/>
              </w:rPr>
              <w:t>dka</w:t>
            </w:r>
            <w:proofErr w:type="spellEnd"/>
            <w:r w:rsidR="00FE63BA" w:rsidRPr="00E84312">
              <w:rPr>
                <w:sz w:val="22"/>
                <w:szCs w:val="22"/>
                <w:lang w:val="en-GB"/>
              </w:rPr>
              <w:t xml:space="preserve"> (ICM)</w:t>
            </w:r>
          </w:p>
        </w:tc>
      </w:tr>
      <w:tr w:rsidR="00D30697" w:rsidRPr="00E84312" w14:paraId="2BB81BF6" w14:textId="77777777" w:rsidTr="00C17BBC">
        <w:tc>
          <w:tcPr>
            <w:tcW w:w="1552" w:type="dxa"/>
            <w:tcBorders>
              <w:top w:val="nil"/>
              <w:left w:val="nil"/>
              <w:bottom w:val="nil"/>
              <w:right w:val="nil"/>
            </w:tcBorders>
          </w:tcPr>
          <w:p w14:paraId="327A6421" w14:textId="77777777" w:rsidR="008A683C" w:rsidRPr="00E84312" w:rsidRDefault="00FE63BA" w:rsidP="00EE2D4F">
            <w:pPr>
              <w:rPr>
                <w:sz w:val="22"/>
                <w:szCs w:val="22"/>
                <w:lang w:val="en-GB"/>
              </w:rPr>
            </w:pPr>
            <w:r w:rsidRPr="00E84312">
              <w:rPr>
                <w:sz w:val="22"/>
                <w:szCs w:val="22"/>
                <w:lang w:val="en-GB"/>
              </w:rPr>
              <w:t>12:40-13:10</w:t>
            </w:r>
          </w:p>
        </w:tc>
        <w:tc>
          <w:tcPr>
            <w:tcW w:w="8080" w:type="dxa"/>
            <w:tcBorders>
              <w:top w:val="nil"/>
              <w:left w:val="nil"/>
              <w:bottom w:val="nil"/>
              <w:right w:val="nil"/>
            </w:tcBorders>
          </w:tcPr>
          <w:p w14:paraId="1C600BF9" w14:textId="617CD806" w:rsidR="008A683C" w:rsidRPr="00E84312" w:rsidRDefault="00FE63BA" w:rsidP="00EE2D4F">
            <w:pPr>
              <w:rPr>
                <w:sz w:val="22"/>
                <w:szCs w:val="22"/>
                <w:lang w:val="en-GB"/>
              </w:rPr>
            </w:pPr>
            <w:r w:rsidRPr="00E84312">
              <w:rPr>
                <w:i/>
                <w:sz w:val="22"/>
                <w:szCs w:val="22"/>
                <w:lang w:val="en-GB"/>
              </w:rPr>
              <w:t>RDA in a nutshell and why RDA is important</w:t>
            </w:r>
            <w:r w:rsidRPr="00E84312">
              <w:rPr>
                <w:sz w:val="22"/>
                <w:szCs w:val="22"/>
                <w:lang w:val="en-GB"/>
              </w:rPr>
              <w:t xml:space="preserve">, Leif </w:t>
            </w:r>
            <w:proofErr w:type="spellStart"/>
            <w:r w:rsidRPr="00E84312">
              <w:rPr>
                <w:sz w:val="22"/>
                <w:szCs w:val="22"/>
                <w:lang w:val="en-GB"/>
              </w:rPr>
              <w:t>Laaksonen</w:t>
            </w:r>
            <w:proofErr w:type="spellEnd"/>
            <w:r w:rsidRPr="00E84312">
              <w:rPr>
                <w:sz w:val="22"/>
                <w:szCs w:val="22"/>
                <w:lang w:val="en-GB"/>
              </w:rPr>
              <w:t xml:space="preserve"> (RDA</w:t>
            </w:r>
            <w:r w:rsidR="001B3B0C" w:rsidRPr="00E84312">
              <w:rPr>
                <w:sz w:val="22"/>
                <w:szCs w:val="22"/>
                <w:lang w:val="en-GB"/>
              </w:rPr>
              <w:t xml:space="preserve"> Europe</w:t>
            </w:r>
            <w:r w:rsidRPr="00E84312">
              <w:rPr>
                <w:sz w:val="22"/>
                <w:szCs w:val="22"/>
                <w:lang w:val="en-GB"/>
              </w:rPr>
              <w:t>)</w:t>
            </w:r>
          </w:p>
        </w:tc>
      </w:tr>
      <w:tr w:rsidR="00D30697" w:rsidRPr="00E84312" w14:paraId="5F9DA5FE" w14:textId="77777777" w:rsidTr="00C17BBC">
        <w:tc>
          <w:tcPr>
            <w:tcW w:w="1552" w:type="dxa"/>
            <w:tcBorders>
              <w:top w:val="nil"/>
              <w:left w:val="nil"/>
              <w:bottom w:val="nil"/>
              <w:right w:val="nil"/>
            </w:tcBorders>
          </w:tcPr>
          <w:p w14:paraId="5115714D" w14:textId="77777777" w:rsidR="008A683C" w:rsidRPr="00E84312" w:rsidRDefault="00FE63BA" w:rsidP="00EE2D4F">
            <w:pPr>
              <w:rPr>
                <w:sz w:val="22"/>
                <w:szCs w:val="22"/>
                <w:lang w:val="en-GB"/>
              </w:rPr>
            </w:pPr>
            <w:r w:rsidRPr="00E84312">
              <w:rPr>
                <w:sz w:val="22"/>
                <w:szCs w:val="22"/>
                <w:lang w:val="en-GB"/>
              </w:rPr>
              <w:t>13:10-13:40</w:t>
            </w:r>
          </w:p>
        </w:tc>
        <w:tc>
          <w:tcPr>
            <w:tcW w:w="8080" w:type="dxa"/>
            <w:tcBorders>
              <w:top w:val="nil"/>
              <w:left w:val="nil"/>
              <w:bottom w:val="nil"/>
              <w:right w:val="nil"/>
            </w:tcBorders>
          </w:tcPr>
          <w:p w14:paraId="3EA87502" w14:textId="0E029542" w:rsidR="008A683C" w:rsidRPr="00E84312" w:rsidRDefault="00A4076B" w:rsidP="00A407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sz w:val="22"/>
                <w:szCs w:val="22"/>
                <w:lang w:val="en-GB"/>
              </w:rPr>
            </w:pPr>
            <w:r w:rsidRPr="00E84312">
              <w:rPr>
                <w:i/>
                <w:sz w:val="22"/>
                <w:szCs w:val="22"/>
                <w:lang w:val="en-GB"/>
              </w:rPr>
              <w:t>RDA: What, Where, When, and How</w:t>
            </w:r>
            <w:r w:rsidRPr="00E84312">
              <w:rPr>
                <w:sz w:val="22"/>
                <w:szCs w:val="22"/>
                <w:lang w:val="en-GB"/>
              </w:rPr>
              <w:t xml:space="preserve">, </w:t>
            </w:r>
            <w:r w:rsidR="00C17BBC" w:rsidRPr="00E84312">
              <w:rPr>
                <w:sz w:val="22"/>
                <w:szCs w:val="22"/>
                <w:lang w:val="en-GB"/>
              </w:rPr>
              <w:t xml:space="preserve">Francoise </w:t>
            </w:r>
            <w:proofErr w:type="spellStart"/>
            <w:r w:rsidR="00C17BBC" w:rsidRPr="00E84312">
              <w:rPr>
                <w:sz w:val="22"/>
                <w:szCs w:val="22"/>
                <w:lang w:val="en-GB"/>
              </w:rPr>
              <w:t>Genova</w:t>
            </w:r>
            <w:proofErr w:type="spellEnd"/>
            <w:r w:rsidR="00C17BBC" w:rsidRPr="00E84312">
              <w:rPr>
                <w:sz w:val="22"/>
                <w:szCs w:val="22"/>
                <w:lang w:val="en-GB"/>
              </w:rPr>
              <w:t>, (</w:t>
            </w:r>
            <w:r w:rsidR="001B3B0C" w:rsidRPr="00E84312">
              <w:rPr>
                <w:sz w:val="22"/>
                <w:szCs w:val="22"/>
                <w:lang w:val="en-GB"/>
              </w:rPr>
              <w:t>RDA Europe/</w:t>
            </w:r>
            <w:r w:rsidR="00C17BBC" w:rsidRPr="00E84312">
              <w:rPr>
                <w:sz w:val="22"/>
                <w:szCs w:val="22"/>
                <w:lang w:val="en-GB"/>
              </w:rPr>
              <w:t xml:space="preserve">CNRS) </w:t>
            </w:r>
          </w:p>
        </w:tc>
      </w:tr>
      <w:tr w:rsidR="00D30697" w:rsidRPr="00E84312" w14:paraId="026B352E" w14:textId="77777777" w:rsidTr="00C17BBC">
        <w:tc>
          <w:tcPr>
            <w:tcW w:w="1552" w:type="dxa"/>
            <w:tcBorders>
              <w:top w:val="nil"/>
              <w:left w:val="nil"/>
              <w:bottom w:val="nil"/>
              <w:right w:val="nil"/>
            </w:tcBorders>
          </w:tcPr>
          <w:p w14:paraId="3DF5DA10" w14:textId="77777777" w:rsidR="008A683C" w:rsidRPr="00E84312" w:rsidRDefault="00FE63BA" w:rsidP="00EE2D4F">
            <w:pPr>
              <w:rPr>
                <w:sz w:val="22"/>
                <w:szCs w:val="22"/>
                <w:lang w:val="en-GB"/>
              </w:rPr>
            </w:pPr>
            <w:r w:rsidRPr="00E84312">
              <w:rPr>
                <w:sz w:val="22"/>
                <w:szCs w:val="22"/>
                <w:lang w:val="en-GB"/>
              </w:rPr>
              <w:t>13:40-14:00</w:t>
            </w:r>
          </w:p>
        </w:tc>
        <w:tc>
          <w:tcPr>
            <w:tcW w:w="8080" w:type="dxa"/>
            <w:tcBorders>
              <w:top w:val="nil"/>
              <w:left w:val="nil"/>
              <w:bottom w:val="nil"/>
              <w:right w:val="nil"/>
            </w:tcBorders>
          </w:tcPr>
          <w:p w14:paraId="1BBB7B05" w14:textId="68082A6B" w:rsidR="008A683C" w:rsidRPr="00E84312" w:rsidRDefault="00850903" w:rsidP="00850903">
            <w:pPr>
              <w:rPr>
                <w:sz w:val="22"/>
                <w:szCs w:val="22"/>
                <w:lang w:val="en-GB"/>
              </w:rPr>
            </w:pPr>
            <w:r w:rsidRPr="00E84312">
              <w:rPr>
                <w:i/>
                <w:iCs/>
                <w:sz w:val="22"/>
                <w:szCs w:val="22"/>
                <w:lang w:val="en-GB"/>
              </w:rPr>
              <w:t xml:space="preserve">Is the </w:t>
            </w:r>
            <w:proofErr w:type="spellStart"/>
            <w:r w:rsidRPr="00E84312">
              <w:rPr>
                <w:i/>
                <w:iCs/>
                <w:sz w:val="22"/>
                <w:szCs w:val="22"/>
                <w:lang w:val="en-GB"/>
              </w:rPr>
              <w:t>InfiniCortex</w:t>
            </w:r>
            <w:proofErr w:type="spellEnd"/>
            <w:r w:rsidRPr="00E84312">
              <w:rPr>
                <w:i/>
                <w:iCs/>
                <w:sz w:val="22"/>
                <w:szCs w:val="22"/>
                <w:lang w:val="en-GB"/>
              </w:rPr>
              <w:t xml:space="preserve"> a new class of the computers according to the Bell’s Law?</w:t>
            </w:r>
            <w:r w:rsidRPr="00E84312">
              <w:rPr>
                <w:sz w:val="22"/>
                <w:szCs w:val="22"/>
                <w:lang w:val="en-GB"/>
              </w:rPr>
              <w:t xml:space="preserve"> Marek </w:t>
            </w:r>
            <w:proofErr w:type="spellStart"/>
            <w:r w:rsidRPr="00E84312">
              <w:rPr>
                <w:sz w:val="22"/>
                <w:szCs w:val="22"/>
                <w:lang w:val="en-GB"/>
              </w:rPr>
              <w:t>Michalewicz</w:t>
            </w:r>
            <w:proofErr w:type="spellEnd"/>
            <w:r w:rsidRPr="00E84312">
              <w:rPr>
                <w:sz w:val="22"/>
                <w:szCs w:val="22"/>
                <w:lang w:val="en-GB"/>
              </w:rPr>
              <w:t>, (ICM)</w:t>
            </w:r>
          </w:p>
        </w:tc>
      </w:tr>
      <w:tr w:rsidR="00D30697" w:rsidRPr="00E84312" w14:paraId="1BFF892B" w14:textId="77777777" w:rsidTr="00C17BBC">
        <w:tc>
          <w:tcPr>
            <w:tcW w:w="1552" w:type="dxa"/>
            <w:tcBorders>
              <w:top w:val="nil"/>
              <w:left w:val="nil"/>
              <w:bottom w:val="nil"/>
              <w:right w:val="nil"/>
            </w:tcBorders>
          </w:tcPr>
          <w:p w14:paraId="65E3C853" w14:textId="77777777" w:rsidR="008A683C" w:rsidRPr="00E84312" w:rsidRDefault="00FE63BA" w:rsidP="00EE2D4F">
            <w:pPr>
              <w:rPr>
                <w:sz w:val="22"/>
                <w:szCs w:val="22"/>
                <w:lang w:val="en-GB"/>
              </w:rPr>
            </w:pPr>
            <w:r w:rsidRPr="00E84312">
              <w:rPr>
                <w:sz w:val="22"/>
                <w:szCs w:val="22"/>
                <w:lang w:val="en-GB"/>
              </w:rPr>
              <w:t>14:00-14:30</w:t>
            </w:r>
          </w:p>
        </w:tc>
        <w:tc>
          <w:tcPr>
            <w:tcW w:w="8080" w:type="dxa"/>
            <w:tcBorders>
              <w:top w:val="nil"/>
              <w:left w:val="nil"/>
              <w:bottom w:val="nil"/>
              <w:right w:val="nil"/>
            </w:tcBorders>
          </w:tcPr>
          <w:p w14:paraId="6E891535" w14:textId="77777777" w:rsidR="008A683C" w:rsidRPr="00E84312" w:rsidRDefault="00FE63BA" w:rsidP="00EE2D4F">
            <w:pPr>
              <w:rPr>
                <w:sz w:val="22"/>
                <w:szCs w:val="22"/>
                <w:lang w:val="en-GB"/>
              </w:rPr>
            </w:pPr>
            <w:r w:rsidRPr="00E84312">
              <w:rPr>
                <w:sz w:val="22"/>
                <w:szCs w:val="22"/>
                <w:lang w:val="en-GB"/>
              </w:rPr>
              <w:t>Coffee and networking</w:t>
            </w:r>
          </w:p>
        </w:tc>
      </w:tr>
      <w:tr w:rsidR="00FE63BA" w:rsidRPr="00E84312" w14:paraId="145510A3" w14:textId="77777777" w:rsidTr="00C17BBC">
        <w:tc>
          <w:tcPr>
            <w:tcW w:w="1552" w:type="dxa"/>
            <w:tcBorders>
              <w:top w:val="nil"/>
              <w:left w:val="nil"/>
              <w:bottom w:val="nil"/>
              <w:right w:val="nil"/>
            </w:tcBorders>
          </w:tcPr>
          <w:p w14:paraId="353DF44A" w14:textId="24D325C0" w:rsidR="00FE63BA" w:rsidRPr="00E84312" w:rsidRDefault="00FE63BA" w:rsidP="00C17BBC">
            <w:pPr>
              <w:rPr>
                <w:sz w:val="22"/>
                <w:szCs w:val="22"/>
                <w:lang w:val="en-GB"/>
              </w:rPr>
            </w:pPr>
            <w:r w:rsidRPr="00E84312">
              <w:rPr>
                <w:sz w:val="22"/>
                <w:szCs w:val="22"/>
                <w:lang w:val="en-GB"/>
              </w:rPr>
              <w:t>14:30-</w:t>
            </w:r>
            <w:r w:rsidR="00C17BBC" w:rsidRPr="00E84312">
              <w:rPr>
                <w:sz w:val="22"/>
                <w:szCs w:val="22"/>
                <w:lang w:val="en-GB"/>
              </w:rPr>
              <w:t xml:space="preserve"> 15.20</w:t>
            </w:r>
          </w:p>
        </w:tc>
        <w:tc>
          <w:tcPr>
            <w:tcW w:w="8080" w:type="dxa"/>
            <w:tcBorders>
              <w:top w:val="nil"/>
              <w:left w:val="nil"/>
              <w:bottom w:val="nil"/>
              <w:right w:val="nil"/>
            </w:tcBorders>
          </w:tcPr>
          <w:p w14:paraId="24D1812B" w14:textId="088BF589" w:rsidR="00FE63BA" w:rsidRPr="00E84312" w:rsidRDefault="00C17BBC" w:rsidP="00EE2D4F">
            <w:pPr>
              <w:rPr>
                <w:sz w:val="22"/>
                <w:szCs w:val="22"/>
                <w:lang w:val="en-GB"/>
              </w:rPr>
            </w:pPr>
            <w:r w:rsidRPr="00E84312">
              <w:rPr>
                <w:sz w:val="22"/>
                <w:szCs w:val="22"/>
                <w:lang w:val="en-GB"/>
              </w:rPr>
              <w:t xml:space="preserve">Polish e-infrastructures for networking, distributed computing and data analytics (Academic Computer Centre </w:t>
            </w:r>
            <w:proofErr w:type="spellStart"/>
            <w:r w:rsidRPr="00E84312">
              <w:rPr>
                <w:sz w:val="22"/>
                <w:szCs w:val="22"/>
                <w:lang w:val="en-GB"/>
              </w:rPr>
              <w:t>Cyfronet</w:t>
            </w:r>
            <w:proofErr w:type="spellEnd"/>
            <w:r w:rsidRPr="00E84312">
              <w:rPr>
                <w:sz w:val="22"/>
                <w:szCs w:val="22"/>
                <w:lang w:val="en-GB"/>
              </w:rPr>
              <w:t xml:space="preserve">, </w:t>
            </w:r>
            <w:proofErr w:type="spellStart"/>
            <w:r w:rsidRPr="00E84312">
              <w:rPr>
                <w:sz w:val="22"/>
                <w:szCs w:val="22"/>
                <w:lang w:val="en-GB"/>
              </w:rPr>
              <w:t>Poznań</w:t>
            </w:r>
            <w:proofErr w:type="spellEnd"/>
            <w:r w:rsidRPr="00E84312">
              <w:rPr>
                <w:sz w:val="22"/>
                <w:szCs w:val="22"/>
                <w:lang w:val="en-GB"/>
              </w:rPr>
              <w:t xml:space="preserve"> Supercomputing and Networking Centre, Interdisciplinary Centre for Mathematical and Computational Modelling)</w:t>
            </w:r>
          </w:p>
        </w:tc>
      </w:tr>
      <w:tr w:rsidR="00FE63BA" w:rsidRPr="00E84312" w14:paraId="028B2AA8" w14:textId="77777777" w:rsidTr="00C17BBC">
        <w:tc>
          <w:tcPr>
            <w:tcW w:w="1552" w:type="dxa"/>
            <w:tcBorders>
              <w:top w:val="nil"/>
              <w:left w:val="nil"/>
              <w:bottom w:val="nil"/>
              <w:right w:val="nil"/>
            </w:tcBorders>
          </w:tcPr>
          <w:p w14:paraId="1B1649B2" w14:textId="5995445A" w:rsidR="00FE63BA" w:rsidRPr="00E84312" w:rsidRDefault="00C17BBC" w:rsidP="00EE2D4F">
            <w:pPr>
              <w:rPr>
                <w:sz w:val="22"/>
                <w:szCs w:val="22"/>
                <w:lang w:val="en-GB"/>
              </w:rPr>
            </w:pPr>
            <w:r w:rsidRPr="00E84312">
              <w:rPr>
                <w:sz w:val="22"/>
                <w:szCs w:val="22"/>
                <w:lang w:val="en-GB"/>
              </w:rPr>
              <w:t>15:2</w:t>
            </w:r>
            <w:r w:rsidR="00FE63BA" w:rsidRPr="00E84312">
              <w:rPr>
                <w:sz w:val="22"/>
                <w:szCs w:val="22"/>
                <w:lang w:val="en-GB"/>
              </w:rPr>
              <w:t>0-16:00</w:t>
            </w:r>
          </w:p>
        </w:tc>
        <w:tc>
          <w:tcPr>
            <w:tcW w:w="8080" w:type="dxa"/>
            <w:tcBorders>
              <w:top w:val="nil"/>
              <w:left w:val="nil"/>
              <w:bottom w:val="nil"/>
              <w:right w:val="nil"/>
            </w:tcBorders>
          </w:tcPr>
          <w:p w14:paraId="4115F600" w14:textId="742ADF2E" w:rsidR="00FE63BA" w:rsidRPr="00E84312" w:rsidRDefault="00C17BBC" w:rsidP="00EE2D4F">
            <w:pPr>
              <w:rPr>
                <w:sz w:val="22"/>
                <w:szCs w:val="22"/>
                <w:lang w:val="en-GB"/>
              </w:rPr>
            </w:pPr>
            <w:r w:rsidRPr="00E84312">
              <w:rPr>
                <w:sz w:val="22"/>
                <w:szCs w:val="22"/>
                <w:lang w:val="en-GB"/>
              </w:rPr>
              <w:t xml:space="preserve">Open </w:t>
            </w:r>
            <w:r w:rsidR="00C159CA" w:rsidRPr="00E84312">
              <w:rPr>
                <w:sz w:val="22"/>
                <w:szCs w:val="22"/>
                <w:lang w:val="en-GB"/>
              </w:rPr>
              <w:t xml:space="preserve">discussion on presented subjects and how to get forwards, moderated by </w:t>
            </w:r>
            <w:r w:rsidR="00C34811" w:rsidRPr="00E84312">
              <w:rPr>
                <w:sz w:val="22"/>
                <w:szCs w:val="22"/>
                <w:lang w:val="en-GB"/>
              </w:rPr>
              <w:t xml:space="preserve">Marek </w:t>
            </w:r>
            <w:proofErr w:type="spellStart"/>
            <w:r w:rsidR="00C34811" w:rsidRPr="00E84312">
              <w:rPr>
                <w:sz w:val="22"/>
                <w:szCs w:val="22"/>
                <w:lang w:val="en-GB"/>
              </w:rPr>
              <w:t>Niezgó</w:t>
            </w:r>
            <w:r w:rsidR="00C159CA" w:rsidRPr="00E84312">
              <w:rPr>
                <w:sz w:val="22"/>
                <w:szCs w:val="22"/>
                <w:lang w:val="en-GB"/>
              </w:rPr>
              <w:t>dka</w:t>
            </w:r>
            <w:proofErr w:type="spellEnd"/>
            <w:r w:rsidR="00C159CA" w:rsidRPr="00E84312">
              <w:rPr>
                <w:sz w:val="22"/>
                <w:szCs w:val="22"/>
                <w:lang w:val="en-GB"/>
              </w:rPr>
              <w:t xml:space="preserve"> (ICM)</w:t>
            </w:r>
          </w:p>
        </w:tc>
      </w:tr>
    </w:tbl>
    <w:p w14:paraId="2FF01B8A" w14:textId="519CA058" w:rsidR="008A683C" w:rsidRPr="00E84312" w:rsidRDefault="005D4928" w:rsidP="00EE2D4F">
      <w:pPr>
        <w:rPr>
          <w:sz w:val="22"/>
          <w:szCs w:val="22"/>
          <w:lang w:val="en-GB"/>
        </w:rPr>
      </w:pPr>
      <w:r w:rsidRPr="00E84312">
        <w:rPr>
          <w:sz w:val="22"/>
          <w:szCs w:val="22"/>
          <w:lang w:val="en-GB"/>
        </w:rPr>
        <w:t xml:space="preserve">Register for the event through the </w:t>
      </w:r>
      <w:r w:rsidR="000F47CA" w:rsidRPr="00E84312">
        <w:rPr>
          <w:sz w:val="22"/>
          <w:szCs w:val="22"/>
          <w:lang w:val="en-GB"/>
        </w:rPr>
        <w:t xml:space="preserve">link: </w:t>
      </w:r>
      <w:hyperlink r:id="rId6" w:history="1">
        <w:r w:rsidR="000F47CA" w:rsidRPr="00E84312">
          <w:rPr>
            <w:rStyle w:val="Hipercze"/>
            <w:sz w:val="22"/>
            <w:szCs w:val="22"/>
            <w:lang w:val="en-GB"/>
          </w:rPr>
          <w:t>http://akademia.icm.edu.pl/szkolenia/rda-meets-researchers-in-poland/</w:t>
        </w:r>
      </w:hyperlink>
      <w:r w:rsidR="000F47CA" w:rsidRPr="00E84312">
        <w:rPr>
          <w:sz w:val="22"/>
          <w:szCs w:val="22"/>
          <w:lang w:val="en-GB"/>
        </w:rPr>
        <w:t xml:space="preserve"> </w:t>
      </w:r>
    </w:p>
    <w:tbl>
      <w:tblPr>
        <w:tblStyle w:val="Tabela-Siatka"/>
        <w:tblW w:w="0" w:type="auto"/>
        <w:tblLook w:val="04A0" w:firstRow="1" w:lastRow="0" w:firstColumn="1" w:lastColumn="0" w:noHBand="0" w:noVBand="1"/>
      </w:tblPr>
      <w:tblGrid>
        <w:gridCol w:w="4816"/>
        <w:gridCol w:w="4816"/>
      </w:tblGrid>
      <w:tr w:rsidR="00C159CA" w:rsidRPr="00E84312" w14:paraId="78858818" w14:textId="77777777" w:rsidTr="00E84312">
        <w:trPr>
          <w:trHeight w:val="1281"/>
        </w:trPr>
        <w:tc>
          <w:tcPr>
            <w:tcW w:w="4816" w:type="dxa"/>
            <w:tcBorders>
              <w:top w:val="nil"/>
              <w:left w:val="nil"/>
              <w:right w:val="nil"/>
            </w:tcBorders>
          </w:tcPr>
          <w:p w14:paraId="351BF387" w14:textId="77777777" w:rsidR="00E84312" w:rsidRDefault="00E84312" w:rsidP="00EE2D4F">
            <w:pPr>
              <w:rPr>
                <w:sz w:val="22"/>
                <w:szCs w:val="22"/>
                <w:lang w:val="en-GB"/>
              </w:rPr>
            </w:pPr>
          </w:p>
          <w:p w14:paraId="1BD3AF8D" w14:textId="77777777" w:rsidR="00E84312" w:rsidRPr="00E84312" w:rsidRDefault="00C159CA" w:rsidP="00EE2D4F">
            <w:pPr>
              <w:rPr>
                <w:b/>
                <w:sz w:val="22"/>
                <w:szCs w:val="22"/>
                <w:lang w:val="en-GB"/>
              </w:rPr>
            </w:pPr>
            <w:r w:rsidRPr="00E84312">
              <w:rPr>
                <w:sz w:val="22"/>
                <w:szCs w:val="22"/>
                <w:lang w:val="en-GB"/>
              </w:rPr>
              <w:t>Mo</w:t>
            </w:r>
            <w:r w:rsidRPr="00E84312">
              <w:rPr>
                <w:b/>
                <w:sz w:val="22"/>
                <w:szCs w:val="22"/>
                <w:lang w:val="en-GB"/>
              </w:rPr>
              <w:t>re information</w:t>
            </w:r>
            <w:r w:rsidR="00A218AF" w:rsidRPr="00E84312">
              <w:rPr>
                <w:b/>
                <w:sz w:val="22"/>
                <w:szCs w:val="22"/>
                <w:lang w:val="en-GB"/>
              </w:rPr>
              <w:t>:</w:t>
            </w:r>
          </w:p>
          <w:p w14:paraId="7C433E1D" w14:textId="1FBDBD9E" w:rsidR="00C159CA" w:rsidRPr="00E84312" w:rsidRDefault="00C159CA" w:rsidP="00EE2D4F">
            <w:pPr>
              <w:rPr>
                <w:sz w:val="22"/>
                <w:szCs w:val="22"/>
                <w:lang w:val="fi-FI"/>
              </w:rPr>
            </w:pPr>
            <w:r w:rsidRPr="00E84312">
              <w:rPr>
                <w:sz w:val="22"/>
                <w:szCs w:val="22"/>
                <w:lang w:val="fi-FI"/>
              </w:rPr>
              <w:t>Leif Laaksonen</w:t>
            </w:r>
            <w:r w:rsidRPr="00E84312">
              <w:rPr>
                <w:sz w:val="22"/>
                <w:szCs w:val="22"/>
                <w:lang w:val="fi-FI"/>
              </w:rPr>
              <w:br/>
              <w:t>RDA Europe</w:t>
            </w:r>
            <w:r w:rsidRPr="00E84312">
              <w:rPr>
                <w:sz w:val="22"/>
                <w:szCs w:val="22"/>
                <w:lang w:val="fi-FI"/>
              </w:rPr>
              <w:br/>
              <w:t>leif.laaksonen(a)csc.fi</w:t>
            </w:r>
            <w:r w:rsidRPr="00E84312">
              <w:rPr>
                <w:sz w:val="22"/>
                <w:szCs w:val="22"/>
                <w:lang w:val="fi-FI"/>
              </w:rPr>
              <w:br/>
              <w:t>Tel. +358 500 425</w:t>
            </w:r>
            <w:r w:rsidR="00E84312" w:rsidRPr="00E84312">
              <w:rPr>
                <w:sz w:val="22"/>
                <w:szCs w:val="22"/>
                <w:lang w:val="fi-FI"/>
              </w:rPr>
              <w:t> </w:t>
            </w:r>
            <w:r w:rsidRPr="00E84312">
              <w:rPr>
                <w:sz w:val="22"/>
                <w:szCs w:val="22"/>
                <w:lang w:val="fi-FI"/>
              </w:rPr>
              <w:t>203</w:t>
            </w:r>
          </w:p>
        </w:tc>
        <w:tc>
          <w:tcPr>
            <w:tcW w:w="4816" w:type="dxa"/>
            <w:tcBorders>
              <w:top w:val="nil"/>
              <w:left w:val="nil"/>
              <w:right w:val="nil"/>
            </w:tcBorders>
          </w:tcPr>
          <w:p w14:paraId="4D2009F3" w14:textId="77777777" w:rsidR="00E84312" w:rsidRPr="00E84312" w:rsidRDefault="00E84312" w:rsidP="00C159CA">
            <w:pPr>
              <w:rPr>
                <w:sz w:val="22"/>
                <w:szCs w:val="22"/>
                <w:lang w:val="fi-FI"/>
              </w:rPr>
            </w:pPr>
          </w:p>
          <w:p w14:paraId="0C5A50B9" w14:textId="77777777" w:rsidR="00E84312" w:rsidRDefault="00E84312" w:rsidP="00C159CA">
            <w:pPr>
              <w:rPr>
                <w:sz w:val="22"/>
                <w:szCs w:val="22"/>
                <w:lang w:val="fi-FI"/>
              </w:rPr>
            </w:pPr>
          </w:p>
          <w:p w14:paraId="3AB2CD94" w14:textId="2EAAEBFB" w:rsidR="00C159CA" w:rsidRPr="00E84312" w:rsidRDefault="00C159CA" w:rsidP="00C159CA">
            <w:pPr>
              <w:rPr>
                <w:sz w:val="22"/>
                <w:szCs w:val="22"/>
                <w:lang w:val="fi-FI"/>
              </w:rPr>
            </w:pPr>
            <w:r w:rsidRPr="00E84312">
              <w:rPr>
                <w:sz w:val="22"/>
                <w:szCs w:val="22"/>
                <w:lang w:val="fi-FI"/>
              </w:rPr>
              <w:t>Lidia Stępińska-Ustasiak</w:t>
            </w:r>
            <w:r w:rsidRPr="00E84312">
              <w:rPr>
                <w:sz w:val="22"/>
                <w:szCs w:val="22"/>
                <w:lang w:val="fi-FI"/>
              </w:rPr>
              <w:br/>
              <w:t>ICM Uniwersytet Warszawski</w:t>
            </w:r>
            <w:r w:rsidRPr="00E84312">
              <w:rPr>
                <w:sz w:val="22"/>
                <w:szCs w:val="22"/>
                <w:lang w:val="fi-FI"/>
              </w:rPr>
              <w:br/>
            </w:r>
            <w:r w:rsidR="00A218AF" w:rsidRPr="00E84312">
              <w:rPr>
                <w:sz w:val="22"/>
                <w:szCs w:val="22"/>
                <w:lang w:val="fi-FI"/>
              </w:rPr>
              <w:t>l.stepinska-ustasiak(a)</w:t>
            </w:r>
            <w:r w:rsidRPr="00E84312">
              <w:rPr>
                <w:sz w:val="22"/>
                <w:szCs w:val="22"/>
                <w:lang w:val="fi-FI"/>
              </w:rPr>
              <w:t>icm.edu.pl</w:t>
            </w:r>
            <w:r w:rsidRPr="00E84312">
              <w:rPr>
                <w:sz w:val="22"/>
                <w:szCs w:val="22"/>
                <w:lang w:val="fi-FI"/>
              </w:rPr>
              <w:br/>
              <w:t>Tel. 22 87 49 429</w:t>
            </w:r>
          </w:p>
        </w:tc>
      </w:tr>
    </w:tbl>
    <w:p w14:paraId="35C2FF0C" w14:textId="77777777" w:rsidR="00C159CA" w:rsidRPr="00C159CA" w:rsidRDefault="00C159CA" w:rsidP="00EE2D4F">
      <w:pPr>
        <w:rPr>
          <w:lang w:val="fi-FI"/>
        </w:rPr>
      </w:pPr>
    </w:p>
    <w:sectPr w:rsidR="00C159CA" w:rsidRPr="00C159CA" w:rsidSect="0023649D">
      <w:headerReference w:type="default" r:id="rId7"/>
      <w:footerReference w:type="default" r:id="rId8"/>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5AAF9" w14:textId="77777777" w:rsidR="00937661" w:rsidRDefault="00937661" w:rsidP="00EE2D4F">
      <w:pPr>
        <w:spacing w:after="0"/>
      </w:pPr>
      <w:r>
        <w:separator/>
      </w:r>
    </w:p>
  </w:endnote>
  <w:endnote w:type="continuationSeparator" w:id="0">
    <w:p w14:paraId="16ED6C84" w14:textId="77777777" w:rsidR="00937661" w:rsidRDefault="00937661" w:rsidP="00EE2D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554916" w14:textId="77777777" w:rsidR="00850903" w:rsidRPr="004562C2" w:rsidRDefault="00850903" w:rsidP="00637448">
    <w:pPr>
      <w:pStyle w:val="Stopka"/>
      <w:ind w:hanging="567"/>
      <w:rPr>
        <w:sz w:val="20"/>
      </w:rPr>
    </w:pPr>
    <w:r>
      <w:rPr>
        <w:noProof/>
        <w:lang w:val="pl-PL" w:eastAsia="pl-PL"/>
      </w:rPr>
      <w:drawing>
        <wp:inline distT="0" distB="0" distL="0" distR="0" wp14:anchorId="6ED0FE37" wp14:editId="62B58647">
          <wp:extent cx="790575" cy="5166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_Logotype_RGB.jpg"/>
                  <pic:cNvPicPr/>
                </pic:nvPicPr>
                <pic:blipFill>
                  <a:blip r:embed="rId1">
                    <a:extLst>
                      <a:ext uri="{28A0092B-C50C-407E-A947-70E740481C1C}">
                        <a14:useLocalDpi xmlns:a14="http://schemas.microsoft.com/office/drawing/2010/main" val="0"/>
                      </a:ext>
                    </a:extLst>
                  </a:blip>
                  <a:stretch>
                    <a:fillRect/>
                  </a:stretch>
                </pic:blipFill>
                <pic:spPr>
                  <a:xfrm>
                    <a:off x="0" y="0"/>
                    <a:ext cx="790894" cy="516829"/>
                  </a:xfrm>
                  <a:prstGeom prst="rect">
                    <a:avLst/>
                  </a:prstGeom>
                </pic:spPr>
              </pic:pic>
            </a:graphicData>
          </a:graphic>
        </wp:inline>
      </w:drawing>
    </w:r>
    <w:r w:rsidRPr="004562C2">
      <w:rPr>
        <w:noProof/>
        <w:sz w:val="20"/>
        <w:lang w:eastAsia="it-IT"/>
      </w:rPr>
      <w:tab/>
    </w:r>
    <w:r>
      <w:rPr>
        <w:b/>
        <w:noProof/>
        <w:sz w:val="20"/>
        <w:lang w:eastAsia="it-IT"/>
      </w:rPr>
      <w:t>rdaeurope@rd-alliance.org</w:t>
    </w:r>
    <w:r w:rsidRPr="004562C2">
      <w:rPr>
        <w:noProof/>
        <w:sz w:val="20"/>
        <w:lang w:eastAsia="it-IT"/>
      </w:rPr>
      <w:t xml:space="preserve"> | </w:t>
    </w:r>
    <w:r>
      <w:rPr>
        <w:b/>
        <w:noProof/>
        <w:sz w:val="20"/>
        <w:lang w:eastAsia="it-IT"/>
      </w:rPr>
      <w:t>europe</w:t>
    </w:r>
    <w:r w:rsidRPr="006641A8">
      <w:rPr>
        <w:b/>
        <w:noProof/>
        <w:sz w:val="20"/>
        <w:lang w:eastAsia="it-IT"/>
      </w:rPr>
      <w:t>.rd-allia</w:t>
    </w:r>
    <w:r>
      <w:rPr>
        <w:b/>
        <w:noProof/>
        <w:sz w:val="20"/>
        <w:lang w:eastAsia="it-IT"/>
      </w:rPr>
      <w:t>nce.org</w:t>
    </w:r>
    <w:r w:rsidRPr="004562C2">
      <w:rPr>
        <w:b/>
        <w:noProof/>
        <w:sz w:val="20"/>
        <w:lang w:eastAsia="it-IT"/>
      </w:rPr>
      <w:tab/>
    </w:r>
    <w:r>
      <w:rPr>
        <w:noProof/>
        <w:lang w:val="pl-PL" w:eastAsia="pl-PL"/>
      </w:rPr>
      <w:drawing>
        <wp:inline distT="0" distB="0" distL="0" distR="0" wp14:anchorId="68ED4D33" wp14:editId="72B77D95">
          <wp:extent cx="571500" cy="381000"/>
          <wp:effectExtent l="19050" t="0" r="0" b="0"/>
          <wp:docPr id="1" name="Immagine 1" descr="http://new.europe.rd-alliance.org/sites/default/files/flag-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ew.europe.rd-alliance.org/sites/default/files/flag-eu.png"/>
                  <pic:cNvPicPr>
                    <a:picLocks noChangeAspect="1" noChangeArrowheads="1"/>
                  </pic:cNvPicPr>
                </pic:nvPicPr>
                <pic:blipFill>
                  <a:blip r:embed="rId2"/>
                  <a:srcRect/>
                  <a:stretch>
                    <a:fillRect/>
                  </a:stretch>
                </pic:blipFill>
                <pic:spPr bwMode="auto">
                  <a:xfrm>
                    <a:off x="0" y="0"/>
                    <a:ext cx="571500" cy="381000"/>
                  </a:xfrm>
                  <a:prstGeom prst="rect">
                    <a:avLst/>
                  </a:prstGeom>
                  <a:noFill/>
                  <a:ln w="9525">
                    <a:noFill/>
                    <a:miter lim="800000"/>
                    <a:headEnd/>
                    <a:tailEnd/>
                  </a:ln>
                </pic:spPr>
              </pic:pic>
            </a:graphicData>
          </a:graphic>
        </wp:inline>
      </w:drawing>
    </w:r>
    <w:r w:rsidRPr="004562C2">
      <w:rPr>
        <w:b/>
        <w:noProof/>
        <w:sz w:val="18"/>
        <w:lang w:eastAsia="it-IT"/>
      </w:rPr>
      <w:fldChar w:fldCharType="begin"/>
    </w:r>
    <w:r w:rsidRPr="004562C2">
      <w:rPr>
        <w:b/>
        <w:noProof/>
        <w:sz w:val="18"/>
        <w:lang w:eastAsia="it-IT"/>
      </w:rPr>
      <w:instrText>PAGE   \* MERGEFORMAT</w:instrText>
    </w:r>
    <w:r w:rsidRPr="004562C2">
      <w:rPr>
        <w:b/>
        <w:noProof/>
        <w:sz w:val="18"/>
        <w:lang w:eastAsia="it-IT"/>
      </w:rPr>
      <w:fldChar w:fldCharType="separate"/>
    </w:r>
    <w:r w:rsidR="005952F0">
      <w:rPr>
        <w:b/>
        <w:noProof/>
        <w:sz w:val="18"/>
        <w:lang w:eastAsia="it-IT"/>
      </w:rPr>
      <w:t>1</w:t>
    </w:r>
    <w:r w:rsidRPr="004562C2">
      <w:rPr>
        <w:b/>
        <w:noProof/>
        <w:sz w:val="18"/>
        <w:lang w:eastAsia="it-IT"/>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C8A9B" w14:textId="77777777" w:rsidR="00937661" w:rsidRDefault="00937661" w:rsidP="00EE2D4F">
      <w:pPr>
        <w:spacing w:after="0"/>
      </w:pPr>
      <w:r>
        <w:separator/>
      </w:r>
    </w:p>
  </w:footnote>
  <w:footnote w:type="continuationSeparator" w:id="0">
    <w:p w14:paraId="683BD6DF" w14:textId="77777777" w:rsidR="00937661" w:rsidRDefault="00937661" w:rsidP="00EE2D4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7C33BA" w14:textId="77777777" w:rsidR="00850903" w:rsidRPr="008A683C" w:rsidRDefault="00850903" w:rsidP="00EE2D4F">
    <w:pPr>
      <w:pStyle w:val="Nagwek"/>
      <w:ind w:left="-567"/>
      <w:rPr>
        <w:lang w:val="en-GB"/>
      </w:rPr>
    </w:pPr>
  </w:p>
  <w:tbl>
    <w:tblPr>
      <w:tblStyle w:val="Tabela-Siatka"/>
      <w:tblW w:w="10204" w:type="dxa"/>
      <w:tblInd w:w="-567" w:type="dxa"/>
      <w:tblLook w:val="04A0" w:firstRow="1" w:lastRow="0" w:firstColumn="1" w:lastColumn="0" w:noHBand="0" w:noVBand="1"/>
    </w:tblPr>
    <w:tblGrid>
      <w:gridCol w:w="2494"/>
      <w:gridCol w:w="7710"/>
    </w:tblGrid>
    <w:tr w:rsidR="00850903" w:rsidRPr="008A683C" w14:paraId="0CEFB6EC" w14:textId="77777777" w:rsidTr="00E232C8">
      <w:trPr>
        <w:trHeight w:val="1562"/>
      </w:trPr>
      <w:tc>
        <w:tcPr>
          <w:tcW w:w="2494" w:type="dxa"/>
        </w:tcPr>
        <w:p w14:paraId="66D96293" w14:textId="77777777" w:rsidR="00850903" w:rsidRPr="008A683C" w:rsidRDefault="00850903" w:rsidP="00EE2D4F">
          <w:pPr>
            <w:pStyle w:val="Nagwek"/>
            <w:rPr>
              <w:lang w:val="en-GB"/>
            </w:rPr>
          </w:pPr>
          <w:r w:rsidRPr="008A683C">
            <w:rPr>
              <w:noProof/>
              <w:lang w:val="pl-PL" w:eastAsia="pl-PL"/>
            </w:rPr>
            <w:drawing>
              <wp:inline distT="0" distB="0" distL="0" distR="0" wp14:anchorId="61E8D21D" wp14:editId="3BD17DB9">
                <wp:extent cx="1314450" cy="9669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DAEurope_Logotype5_CMYK-01.png"/>
                        <pic:cNvPicPr/>
                      </pic:nvPicPr>
                      <pic:blipFill>
                        <a:blip r:embed="rId1">
                          <a:extLst>
                            <a:ext uri="{28A0092B-C50C-407E-A947-70E740481C1C}">
                              <a14:useLocalDpi xmlns:a14="http://schemas.microsoft.com/office/drawing/2010/main" val="0"/>
                            </a:ext>
                          </a:extLst>
                        </a:blip>
                        <a:stretch>
                          <a:fillRect/>
                        </a:stretch>
                      </pic:blipFill>
                      <pic:spPr>
                        <a:xfrm>
                          <a:off x="0" y="0"/>
                          <a:ext cx="1313207" cy="965985"/>
                        </a:xfrm>
                        <a:prstGeom prst="rect">
                          <a:avLst/>
                        </a:prstGeom>
                      </pic:spPr>
                    </pic:pic>
                  </a:graphicData>
                </a:graphic>
              </wp:inline>
            </w:drawing>
          </w:r>
        </w:p>
      </w:tc>
      <w:tc>
        <w:tcPr>
          <w:tcW w:w="7710" w:type="dxa"/>
        </w:tcPr>
        <w:p w14:paraId="3CA792EB" w14:textId="77777777" w:rsidR="00850903" w:rsidRPr="008A683C" w:rsidRDefault="00850903" w:rsidP="008A683C">
          <w:pPr>
            <w:pStyle w:val="Nagwek"/>
            <w:jc w:val="center"/>
            <w:rPr>
              <w:sz w:val="28"/>
              <w:szCs w:val="28"/>
              <w:lang w:val="en-GB"/>
            </w:rPr>
          </w:pPr>
          <w:r w:rsidRPr="008A683C">
            <w:rPr>
              <w:sz w:val="28"/>
              <w:szCs w:val="28"/>
              <w:lang w:val="en-GB"/>
            </w:rPr>
            <w:t>RDA meets researche</w:t>
          </w:r>
          <w:r>
            <w:rPr>
              <w:sz w:val="28"/>
              <w:szCs w:val="28"/>
              <w:lang w:val="en-GB"/>
            </w:rPr>
            <w:t>r</w:t>
          </w:r>
          <w:r w:rsidRPr="008A683C">
            <w:rPr>
              <w:sz w:val="28"/>
              <w:szCs w:val="28"/>
              <w:lang w:val="en-GB"/>
            </w:rPr>
            <w:t>s in Poland</w:t>
          </w:r>
        </w:p>
        <w:p w14:paraId="03BC2255" w14:textId="77777777" w:rsidR="00850903" w:rsidRPr="008A683C" w:rsidRDefault="00850903" w:rsidP="00EE2D4F">
          <w:pPr>
            <w:pStyle w:val="Nagwek"/>
            <w:rPr>
              <w:lang w:val="en-GB"/>
            </w:rPr>
          </w:pPr>
          <w:r w:rsidRPr="008A683C">
            <w:rPr>
              <w:b/>
              <w:lang w:val="en-GB"/>
            </w:rPr>
            <w:t>Date and time:</w:t>
          </w:r>
          <w:r w:rsidRPr="008A683C">
            <w:rPr>
              <w:lang w:val="en-GB"/>
            </w:rPr>
            <w:t xml:space="preserve"> 01.02.2017, 12:00 – 16:00</w:t>
          </w:r>
        </w:p>
        <w:p w14:paraId="637DCC00" w14:textId="46C1E1B8" w:rsidR="00850903" w:rsidRPr="008A683C" w:rsidRDefault="00850903" w:rsidP="00EE2D4F">
          <w:pPr>
            <w:pStyle w:val="Nagwek"/>
            <w:rPr>
              <w:lang w:val="en-GB"/>
            </w:rPr>
          </w:pPr>
          <w:r w:rsidRPr="008A683C">
            <w:rPr>
              <w:b/>
              <w:lang w:val="en-GB"/>
            </w:rPr>
            <w:t>Venue:</w:t>
          </w:r>
          <w:r w:rsidRPr="008A683C">
            <w:rPr>
              <w:lang w:val="en-GB"/>
            </w:rPr>
            <w:t xml:space="preserve"> </w:t>
          </w:r>
          <w:proofErr w:type="spellStart"/>
          <w:r>
            <w:rPr>
              <w:lang w:val="en-GB"/>
            </w:rPr>
            <w:t>CeNT</w:t>
          </w:r>
          <w:proofErr w:type="spellEnd"/>
          <w:r>
            <w:rPr>
              <w:lang w:val="en-GB"/>
            </w:rPr>
            <w:t xml:space="preserve"> 1, </w:t>
          </w:r>
          <w:proofErr w:type="spellStart"/>
          <w:r>
            <w:rPr>
              <w:lang w:val="en-GB"/>
            </w:rPr>
            <w:t>Banacha</w:t>
          </w:r>
          <w:proofErr w:type="spellEnd"/>
          <w:r>
            <w:rPr>
              <w:lang w:val="en-GB"/>
            </w:rPr>
            <w:t xml:space="preserve"> 2c</w:t>
          </w:r>
          <w:r w:rsidRPr="008A683C">
            <w:rPr>
              <w:lang w:val="en-GB"/>
            </w:rPr>
            <w:t>, Warsaw</w:t>
          </w:r>
          <w:r>
            <w:rPr>
              <w:lang w:val="en-GB"/>
            </w:rPr>
            <w:t>, room 0142</w:t>
          </w:r>
        </w:p>
        <w:p w14:paraId="6C0813E2" w14:textId="7E88AD84" w:rsidR="00850903" w:rsidRPr="008A683C" w:rsidRDefault="00850903" w:rsidP="00412A49">
          <w:pPr>
            <w:pStyle w:val="Nagwek"/>
            <w:rPr>
              <w:lang w:val="en-GB"/>
            </w:rPr>
          </w:pPr>
          <w:r w:rsidRPr="008A683C">
            <w:rPr>
              <w:b/>
              <w:bCs/>
              <w:lang w:val="en-GB"/>
            </w:rPr>
            <w:t>Audience:</w:t>
          </w:r>
          <w:r w:rsidRPr="008A683C">
            <w:rPr>
              <w:lang w:val="en-GB"/>
            </w:rPr>
            <w:t xml:space="preserve"> Research communities, policy makers, open science enablers and promoters</w:t>
          </w:r>
          <w:r w:rsidRPr="008A683C">
            <w:rPr>
              <w:lang w:val="en-GB"/>
            </w:rPr>
            <w:br/>
          </w:r>
          <w:r w:rsidRPr="008A683C">
            <w:rPr>
              <w:b/>
              <w:bCs/>
              <w:lang w:val="en-GB"/>
            </w:rPr>
            <w:t>Registration:</w:t>
          </w:r>
          <w:r>
            <w:rPr>
              <w:lang w:val="en-GB"/>
            </w:rPr>
            <w:t xml:space="preserve"> Event is</w:t>
          </w:r>
          <w:r w:rsidRPr="008A683C">
            <w:rPr>
              <w:lang w:val="en-GB"/>
            </w:rPr>
            <w:t xml:space="preserve"> free of charge but are only for registered participants. The reg</w:t>
          </w:r>
          <w:r>
            <w:rPr>
              <w:lang w:val="en-GB"/>
            </w:rPr>
            <w:t>istration closes on 25.01.2017</w:t>
          </w:r>
          <w:r w:rsidRPr="008A683C">
            <w:rPr>
              <w:lang w:val="en-GB"/>
            </w:rPr>
            <w:t>.</w:t>
          </w:r>
          <w:r w:rsidRPr="008A683C">
            <w:rPr>
              <w:lang w:val="en-GB"/>
            </w:rPr>
            <w:br/>
          </w:r>
          <w:r w:rsidRPr="008A683C">
            <w:rPr>
              <w:b/>
              <w:bCs/>
              <w:lang w:val="en-GB"/>
            </w:rPr>
            <w:t>Organizer:</w:t>
          </w:r>
          <w:r>
            <w:rPr>
              <w:lang w:val="en-GB"/>
            </w:rPr>
            <w:t xml:space="preserve"> RDA Europe </w:t>
          </w:r>
        </w:p>
      </w:tc>
    </w:tr>
  </w:tbl>
  <w:p w14:paraId="63492BE9" w14:textId="77777777" w:rsidR="00850903" w:rsidRPr="008A683C" w:rsidRDefault="00850903" w:rsidP="00EE2D4F">
    <w:pPr>
      <w:pStyle w:val="Nagwek"/>
      <w:ind w:left="-567"/>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defaultTabStop w:val="708"/>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2C8"/>
    <w:rsid w:val="00093EF0"/>
    <w:rsid w:val="000C5C88"/>
    <w:rsid w:val="000F47CA"/>
    <w:rsid w:val="001A1584"/>
    <w:rsid w:val="001B3B0C"/>
    <w:rsid w:val="001C0266"/>
    <w:rsid w:val="001C680E"/>
    <w:rsid w:val="0023649D"/>
    <w:rsid w:val="00412A49"/>
    <w:rsid w:val="004562C2"/>
    <w:rsid w:val="004D7092"/>
    <w:rsid w:val="00510493"/>
    <w:rsid w:val="00540B36"/>
    <w:rsid w:val="005775AF"/>
    <w:rsid w:val="005952F0"/>
    <w:rsid w:val="005B5ECA"/>
    <w:rsid w:val="005D4928"/>
    <w:rsid w:val="00631B6A"/>
    <w:rsid w:val="00637448"/>
    <w:rsid w:val="00662605"/>
    <w:rsid w:val="006641A8"/>
    <w:rsid w:val="006C3318"/>
    <w:rsid w:val="007A1CB6"/>
    <w:rsid w:val="00824571"/>
    <w:rsid w:val="00832CE9"/>
    <w:rsid w:val="00850903"/>
    <w:rsid w:val="00862AF3"/>
    <w:rsid w:val="008A683C"/>
    <w:rsid w:val="00935F5E"/>
    <w:rsid w:val="00937661"/>
    <w:rsid w:val="00937CA2"/>
    <w:rsid w:val="0095118F"/>
    <w:rsid w:val="009D7178"/>
    <w:rsid w:val="009E3909"/>
    <w:rsid w:val="00A20A47"/>
    <w:rsid w:val="00A218AF"/>
    <w:rsid w:val="00A4076B"/>
    <w:rsid w:val="00BC63E9"/>
    <w:rsid w:val="00BD30E7"/>
    <w:rsid w:val="00C159CA"/>
    <w:rsid w:val="00C17BBC"/>
    <w:rsid w:val="00C34811"/>
    <w:rsid w:val="00C3560C"/>
    <w:rsid w:val="00D30697"/>
    <w:rsid w:val="00E232C8"/>
    <w:rsid w:val="00E84312"/>
    <w:rsid w:val="00EE2D4F"/>
    <w:rsid w:val="00F10040"/>
    <w:rsid w:val="00F44B6A"/>
    <w:rsid w:val="00F458F1"/>
    <w:rsid w:val="00FE63BA"/>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0F800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40B36"/>
    <w:pPr>
      <w:spacing w:after="200"/>
    </w:pPr>
    <w:rPr>
      <w:sz w:val="24"/>
      <w:szCs w:val="24"/>
      <w:lang w:eastAsia="ja-JP"/>
    </w:rPr>
  </w:style>
  <w:style w:type="paragraph" w:styleId="Nagwek1">
    <w:name w:val="heading 1"/>
    <w:basedOn w:val="Normalny"/>
    <w:next w:val="Normalny"/>
    <w:link w:val="Nagwek1Znak"/>
    <w:autoRedefine/>
    <w:qFormat/>
    <w:rsid w:val="004D7092"/>
    <w:pPr>
      <w:keepNext/>
      <w:spacing w:before="360" w:after="180"/>
      <w:outlineLvl w:val="0"/>
    </w:pPr>
    <w:rPr>
      <w:rFonts w:ascii="Garamond" w:eastAsia="MS Gothic" w:hAnsi="Garamond"/>
      <w:b/>
      <w:bCs/>
      <w:kern w:val="32"/>
      <w:sz w:val="32"/>
      <w:szCs w:val="32"/>
      <w:lang w:val="en-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D7092"/>
    <w:rPr>
      <w:rFonts w:ascii="Garamond" w:eastAsia="MS Gothic" w:hAnsi="Garamond" w:cs="Times New Roman"/>
      <w:b/>
      <w:bCs/>
      <w:kern w:val="32"/>
      <w:sz w:val="32"/>
      <w:szCs w:val="32"/>
      <w:lang w:val="en-IN" w:eastAsia="en-US"/>
    </w:rPr>
  </w:style>
  <w:style w:type="paragraph" w:styleId="Nagwek">
    <w:name w:val="header"/>
    <w:basedOn w:val="Normalny"/>
    <w:link w:val="NagwekZnak"/>
    <w:uiPriority w:val="99"/>
    <w:unhideWhenUsed/>
    <w:rsid w:val="00EE2D4F"/>
    <w:pPr>
      <w:tabs>
        <w:tab w:val="center" w:pos="4819"/>
        <w:tab w:val="right" w:pos="9638"/>
      </w:tabs>
      <w:spacing w:after="0"/>
    </w:pPr>
  </w:style>
  <w:style w:type="character" w:customStyle="1" w:styleId="NagwekZnak">
    <w:name w:val="Nagłówek Znak"/>
    <w:link w:val="Nagwek"/>
    <w:uiPriority w:val="99"/>
    <w:rsid w:val="00EE2D4F"/>
    <w:rPr>
      <w:sz w:val="24"/>
      <w:szCs w:val="24"/>
    </w:rPr>
  </w:style>
  <w:style w:type="paragraph" w:styleId="Stopka">
    <w:name w:val="footer"/>
    <w:basedOn w:val="Normalny"/>
    <w:link w:val="StopkaZnak"/>
    <w:uiPriority w:val="99"/>
    <w:unhideWhenUsed/>
    <w:rsid w:val="00EE2D4F"/>
    <w:pPr>
      <w:tabs>
        <w:tab w:val="center" w:pos="4819"/>
        <w:tab w:val="right" w:pos="9638"/>
      </w:tabs>
      <w:spacing w:after="0"/>
    </w:pPr>
  </w:style>
  <w:style w:type="character" w:customStyle="1" w:styleId="StopkaZnak">
    <w:name w:val="Stopka Znak"/>
    <w:link w:val="Stopka"/>
    <w:uiPriority w:val="99"/>
    <w:rsid w:val="00EE2D4F"/>
    <w:rPr>
      <w:sz w:val="24"/>
      <w:szCs w:val="24"/>
    </w:rPr>
  </w:style>
  <w:style w:type="paragraph" w:styleId="Tekstdymka">
    <w:name w:val="Balloon Text"/>
    <w:basedOn w:val="Normalny"/>
    <w:link w:val="TekstdymkaZnak"/>
    <w:uiPriority w:val="99"/>
    <w:semiHidden/>
    <w:unhideWhenUsed/>
    <w:rsid w:val="00EE2D4F"/>
    <w:pPr>
      <w:spacing w:after="0"/>
    </w:pPr>
    <w:rPr>
      <w:rFonts w:ascii="Lucida Grande" w:hAnsi="Lucida Grande" w:cs="Lucida Grande"/>
      <w:sz w:val="18"/>
      <w:szCs w:val="18"/>
    </w:rPr>
  </w:style>
  <w:style w:type="character" w:customStyle="1" w:styleId="TekstdymkaZnak">
    <w:name w:val="Tekst dymka Znak"/>
    <w:link w:val="Tekstdymka"/>
    <w:uiPriority w:val="99"/>
    <w:semiHidden/>
    <w:rsid w:val="00EE2D4F"/>
    <w:rPr>
      <w:rFonts w:ascii="Lucida Grande" w:hAnsi="Lucida Grande" w:cs="Lucida Grande"/>
      <w:sz w:val="18"/>
      <w:szCs w:val="18"/>
    </w:rPr>
  </w:style>
  <w:style w:type="paragraph" w:styleId="Tytu">
    <w:name w:val="Title"/>
    <w:basedOn w:val="Normalny"/>
    <w:next w:val="Normalny"/>
    <w:link w:val="TytuZnak"/>
    <w:uiPriority w:val="10"/>
    <w:qFormat/>
    <w:rsid w:val="00EE2D4F"/>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ytuZnak">
    <w:name w:val="Tytuł Znak"/>
    <w:link w:val="Tytu"/>
    <w:uiPriority w:val="10"/>
    <w:rsid w:val="00EE2D4F"/>
    <w:rPr>
      <w:rFonts w:ascii="Calibri" w:eastAsia="MS Gothic" w:hAnsi="Calibri" w:cs="Times New Roman"/>
      <w:color w:val="17365D"/>
      <w:spacing w:val="5"/>
      <w:kern w:val="28"/>
      <w:sz w:val="52"/>
      <w:szCs w:val="52"/>
    </w:rPr>
  </w:style>
  <w:style w:type="character" w:styleId="Hipercze">
    <w:name w:val="Hyperlink"/>
    <w:uiPriority w:val="99"/>
    <w:unhideWhenUsed/>
    <w:rsid w:val="005B5ECA"/>
    <w:rPr>
      <w:color w:val="0000FF"/>
      <w:u w:val="single"/>
    </w:rPr>
  </w:style>
  <w:style w:type="table" w:styleId="Tabela-Siatka">
    <w:name w:val="Table Grid"/>
    <w:basedOn w:val="Standardowy"/>
    <w:uiPriority w:val="59"/>
    <w:rsid w:val="00E232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wstpniesformatowany">
    <w:name w:val="HTML Preformatted"/>
    <w:basedOn w:val="Normalny"/>
    <w:link w:val="HTML-wstpniesformatowanyZnak"/>
    <w:uiPriority w:val="99"/>
    <w:semiHidden/>
    <w:unhideWhenUsed/>
    <w:rsid w:val="00C17B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val="pl-PL" w:eastAsia="pl-PL"/>
    </w:rPr>
  </w:style>
  <w:style w:type="character" w:customStyle="1" w:styleId="HTML-wstpniesformatowanyZnak">
    <w:name w:val="HTML - wstępnie sformatowany Znak"/>
    <w:basedOn w:val="Domylnaczcionkaakapitu"/>
    <w:link w:val="HTML-wstpniesformatowany"/>
    <w:uiPriority w:val="99"/>
    <w:semiHidden/>
    <w:rsid w:val="00C17BBC"/>
    <w:rPr>
      <w:rFonts w:ascii="Courier New" w:eastAsia="Times New Roman" w:hAnsi="Courier New" w:cs="Courier New"/>
      <w:lang w:val="pl-PL" w:eastAsia="pl-PL"/>
    </w:rPr>
  </w:style>
  <w:style w:type="character" w:styleId="Uwydatnienie">
    <w:name w:val="Emphasis"/>
    <w:basedOn w:val="Domylnaczcionkaakapitu"/>
    <w:uiPriority w:val="20"/>
    <w:qFormat/>
    <w:rsid w:val="008509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8435">
      <w:bodyDiv w:val="1"/>
      <w:marLeft w:val="0"/>
      <w:marRight w:val="0"/>
      <w:marTop w:val="0"/>
      <w:marBottom w:val="0"/>
      <w:divBdr>
        <w:top w:val="none" w:sz="0" w:space="0" w:color="auto"/>
        <w:left w:val="none" w:sz="0" w:space="0" w:color="auto"/>
        <w:bottom w:val="none" w:sz="0" w:space="0" w:color="auto"/>
        <w:right w:val="none" w:sz="0" w:space="0" w:color="auto"/>
      </w:divBdr>
    </w:div>
    <w:div w:id="332148590">
      <w:bodyDiv w:val="1"/>
      <w:marLeft w:val="0"/>
      <w:marRight w:val="0"/>
      <w:marTop w:val="0"/>
      <w:marBottom w:val="0"/>
      <w:divBdr>
        <w:top w:val="none" w:sz="0" w:space="0" w:color="auto"/>
        <w:left w:val="none" w:sz="0" w:space="0" w:color="auto"/>
        <w:bottom w:val="none" w:sz="0" w:space="0" w:color="auto"/>
        <w:right w:val="none" w:sz="0" w:space="0" w:color="auto"/>
      </w:divBdr>
    </w:div>
    <w:div w:id="1022363408">
      <w:bodyDiv w:val="1"/>
      <w:marLeft w:val="0"/>
      <w:marRight w:val="0"/>
      <w:marTop w:val="0"/>
      <w:marBottom w:val="0"/>
      <w:divBdr>
        <w:top w:val="none" w:sz="0" w:space="0" w:color="auto"/>
        <w:left w:val="none" w:sz="0" w:space="0" w:color="auto"/>
        <w:bottom w:val="none" w:sz="0" w:space="0" w:color="auto"/>
        <w:right w:val="none" w:sz="0" w:space="0" w:color="auto"/>
      </w:divBdr>
    </w:div>
    <w:div w:id="1244415636">
      <w:bodyDiv w:val="1"/>
      <w:marLeft w:val="0"/>
      <w:marRight w:val="0"/>
      <w:marTop w:val="0"/>
      <w:marBottom w:val="0"/>
      <w:divBdr>
        <w:top w:val="none" w:sz="0" w:space="0" w:color="auto"/>
        <w:left w:val="none" w:sz="0" w:space="0" w:color="auto"/>
        <w:bottom w:val="none" w:sz="0" w:space="0" w:color="auto"/>
        <w:right w:val="none" w:sz="0" w:space="0" w:color="auto"/>
      </w:divBdr>
      <w:divsChild>
        <w:div w:id="782260896">
          <w:marLeft w:val="0"/>
          <w:marRight w:val="0"/>
          <w:marTop w:val="0"/>
          <w:marBottom w:val="0"/>
          <w:divBdr>
            <w:top w:val="none" w:sz="0" w:space="0" w:color="auto"/>
            <w:left w:val="none" w:sz="0" w:space="0" w:color="auto"/>
            <w:bottom w:val="none" w:sz="0" w:space="0" w:color="auto"/>
            <w:right w:val="none" w:sz="0" w:space="0" w:color="auto"/>
          </w:divBdr>
        </w:div>
      </w:divsChild>
    </w:div>
    <w:div w:id="16412996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kademia.icm.edu.pl/szkolenia/rda-meets-researchers-in-pola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1631</Characters>
  <Application>Microsoft Office Word</Application>
  <DocSecurity>0</DocSecurity>
  <Lines>13</Lines>
  <Paragraphs>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moaI</Company>
  <LinksUpToDate>false</LinksUpToDate>
  <CharactersWithSpaces>1899</CharactersWithSpaces>
  <SharedDoc>false</SharedDoc>
  <HLinks>
    <vt:vector size="6" baseType="variant">
      <vt:variant>
        <vt:i4>1179725</vt:i4>
      </vt:variant>
      <vt:variant>
        <vt:i4>0</vt:i4>
      </vt:variant>
      <vt:variant>
        <vt:i4>0</vt:i4>
      </vt:variant>
      <vt:variant>
        <vt:i4>5</vt:i4>
      </vt:variant>
      <vt:variant>
        <vt:lpwstr>http://www.icordi.eu/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Leif Laaksonen</dc:creator>
  <cp:lastModifiedBy>Marcin Choczyński</cp:lastModifiedBy>
  <cp:revision>2</cp:revision>
  <cp:lastPrinted>2017-01-03T12:54:00Z</cp:lastPrinted>
  <dcterms:created xsi:type="dcterms:W3CDTF">2017-01-11T07:25:00Z</dcterms:created>
  <dcterms:modified xsi:type="dcterms:W3CDTF">2017-01-11T07:25:00Z</dcterms:modified>
</cp:coreProperties>
</file>