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EE" w:rsidRPr="007338A5" w:rsidRDefault="005D3CEE" w:rsidP="00F73741">
      <w:pPr>
        <w:spacing w:line="240" w:lineRule="auto"/>
        <w:jc w:val="center"/>
        <w:rPr>
          <w:rFonts w:asciiTheme="minorHAnsi" w:hAnsiTheme="minorHAnsi"/>
        </w:rPr>
      </w:pPr>
      <w:r w:rsidRPr="007338A5">
        <w:rPr>
          <w:rFonts w:asciiTheme="minorHAnsi" w:hAnsiTheme="minorHAnsi" w:cs="Arial"/>
          <w:b/>
        </w:rPr>
        <w:t>2017 International Conference on</w:t>
      </w:r>
    </w:p>
    <w:p w:rsidR="005D3CEE" w:rsidRPr="007338A5" w:rsidRDefault="005D3CEE" w:rsidP="00F73741">
      <w:pPr>
        <w:spacing w:line="240" w:lineRule="auto"/>
        <w:jc w:val="center"/>
        <w:rPr>
          <w:rFonts w:asciiTheme="minorHAnsi" w:hAnsiTheme="minorHAnsi" w:cs="Arial"/>
          <w:b/>
        </w:rPr>
      </w:pPr>
      <w:r w:rsidRPr="007338A5">
        <w:rPr>
          <w:rFonts w:asciiTheme="minorHAnsi" w:hAnsiTheme="minorHAnsi" w:cs="Arial"/>
          <w:b/>
        </w:rPr>
        <w:t>Deliberation and Decision Making (DDM 2017)</w:t>
      </w:r>
    </w:p>
    <w:p w:rsidR="005D3CEE" w:rsidRPr="007338A5" w:rsidRDefault="005D3CEE" w:rsidP="00F73741">
      <w:pPr>
        <w:spacing w:line="240" w:lineRule="auto"/>
        <w:jc w:val="center"/>
        <w:rPr>
          <w:rFonts w:asciiTheme="minorHAnsi" w:hAnsiTheme="minorHAnsi"/>
          <w:lang w:val="fr-FR"/>
        </w:rPr>
      </w:pPr>
      <w:r w:rsidRPr="007338A5">
        <w:rPr>
          <w:rFonts w:asciiTheme="minorHAnsi" w:hAnsiTheme="minorHAnsi" w:cs="Arial"/>
          <w:b/>
          <w:lang w:val="fr-FR"/>
        </w:rPr>
        <w:t>Interdisciplinary Perspectives on Civic Tech</w:t>
      </w:r>
    </w:p>
    <w:p w:rsidR="005D3CEE" w:rsidRPr="007338A5" w:rsidRDefault="005D3CEE" w:rsidP="00F73741">
      <w:pPr>
        <w:spacing w:line="240" w:lineRule="auto"/>
        <w:rPr>
          <w:rFonts w:asciiTheme="minorHAnsi" w:hAnsiTheme="minorHAnsi"/>
          <w:lang w:val="fr-FR"/>
        </w:rPr>
      </w:pPr>
    </w:p>
    <w:p w:rsidR="005D3CEE" w:rsidRPr="007338A5" w:rsidRDefault="005D3CEE" w:rsidP="00F73741">
      <w:pPr>
        <w:spacing w:line="240" w:lineRule="auto"/>
        <w:jc w:val="center"/>
        <w:rPr>
          <w:rFonts w:asciiTheme="minorHAnsi" w:hAnsiTheme="minorHAnsi"/>
          <w:lang w:val="fr-FR"/>
        </w:rPr>
      </w:pPr>
      <w:r w:rsidRPr="007338A5">
        <w:rPr>
          <w:rFonts w:asciiTheme="minorHAnsi" w:hAnsiTheme="minorHAnsi" w:cs="Arial"/>
          <w:b/>
          <w:lang w:val="fr-FR"/>
        </w:rPr>
        <w:t>June 23-24, 2017</w:t>
      </w:r>
    </w:p>
    <w:p w:rsidR="005D3CEE" w:rsidRPr="007338A5" w:rsidRDefault="005D3CEE" w:rsidP="00F73741">
      <w:pPr>
        <w:spacing w:line="240" w:lineRule="auto"/>
        <w:jc w:val="center"/>
        <w:rPr>
          <w:rFonts w:asciiTheme="minorHAnsi" w:hAnsiTheme="minorHAnsi"/>
        </w:rPr>
      </w:pPr>
      <w:r w:rsidRPr="007338A5">
        <w:rPr>
          <w:rFonts w:asciiTheme="minorHAnsi" w:hAnsiTheme="minorHAnsi" w:cs="Arial"/>
          <w:b/>
        </w:rPr>
        <w:t>Singapore</w:t>
      </w:r>
    </w:p>
    <w:p w:rsidR="005D3CEE" w:rsidRPr="007338A5" w:rsidRDefault="005D3CEE" w:rsidP="00F73741">
      <w:pPr>
        <w:spacing w:line="240" w:lineRule="auto"/>
        <w:rPr>
          <w:rFonts w:asciiTheme="minorHAnsi" w:hAnsiTheme="minorHAnsi"/>
        </w:rPr>
      </w:pPr>
    </w:p>
    <w:p w:rsidR="005D3CEE" w:rsidRPr="007338A5" w:rsidRDefault="005D3CEE" w:rsidP="007338A5">
      <w:pPr>
        <w:spacing w:line="240" w:lineRule="auto"/>
        <w:jc w:val="both"/>
        <w:rPr>
          <w:rFonts w:asciiTheme="minorHAnsi" w:eastAsia="Times New Roman" w:hAnsiTheme="minorHAnsi" w:cs="Arial"/>
          <w:lang w:val="en-GB"/>
        </w:rPr>
      </w:pPr>
      <w:r w:rsidRPr="007338A5">
        <w:rPr>
          <w:rFonts w:asciiTheme="minorHAnsi" w:eastAsia="Times New Roman" w:hAnsiTheme="minorHAnsi" w:cs="Arial"/>
          <w:lang w:val="en-GB"/>
        </w:rPr>
        <w:t>The 2017 International Conference on Deliberation and Decision Making (DDM 2017) will bring together researchers and practitioners who focus on deliberation and decision making – in individuals, groups, organizations, communities, governments, and machines. For historical, institutional, and other reasons, deliberation and decision making researchers have been separated into different academic enclaves, sometimes debating but often talking past each other across disciplinary divide, with different definitions, assumptions, and methodologies getting in the way of knowledge accumulation and mutual understanding. This has not served the world of practice very well, and DDM 2017 aims to address these divisions by calling together researchers and practitioners from interdisciplinary perspectives in one conference, to explore, analyze and reflect on these perspectives and to find common ground.</w:t>
      </w:r>
    </w:p>
    <w:p w:rsidR="00F73741" w:rsidRPr="007338A5" w:rsidRDefault="00F73741" w:rsidP="007338A5">
      <w:pPr>
        <w:spacing w:line="240" w:lineRule="auto"/>
        <w:jc w:val="both"/>
        <w:rPr>
          <w:rFonts w:asciiTheme="minorHAnsi" w:hAnsiTheme="minorHAnsi"/>
        </w:rPr>
      </w:pPr>
    </w:p>
    <w:p w:rsidR="005D3CEE" w:rsidRPr="007338A5" w:rsidRDefault="005D3CEE" w:rsidP="007338A5">
      <w:pPr>
        <w:spacing w:line="240" w:lineRule="auto"/>
        <w:jc w:val="both"/>
        <w:rPr>
          <w:rFonts w:asciiTheme="minorHAnsi" w:hAnsiTheme="minorHAnsi"/>
        </w:rPr>
      </w:pPr>
      <w:r w:rsidRPr="007338A5">
        <w:rPr>
          <w:rFonts w:asciiTheme="minorHAnsi" w:eastAsia="Times New Roman" w:hAnsiTheme="minorHAnsi" w:cs="Arial"/>
          <w:lang w:val="en-GB"/>
        </w:rPr>
        <w:t>The conference aims to discuss specific theoretical and practical advances from a number of disciplinary perspectives (such as behaviour science, communication, computer science, decision science, human-computer interaction, information science, political science, policy studies, and more). It is organized by key experts in the field and is supported by an interdisciplinary programme committee.</w:t>
      </w:r>
    </w:p>
    <w:p w:rsidR="00F73741" w:rsidRPr="007338A5" w:rsidRDefault="00F73741" w:rsidP="007338A5">
      <w:pPr>
        <w:spacing w:line="240" w:lineRule="auto"/>
        <w:jc w:val="both"/>
        <w:rPr>
          <w:rFonts w:asciiTheme="minorHAnsi" w:eastAsia="Times New Roman" w:hAnsiTheme="minorHAnsi" w:cs="Arial"/>
          <w:lang w:val="en-GB"/>
        </w:rPr>
      </w:pPr>
    </w:p>
    <w:p w:rsidR="005D3CEE" w:rsidRPr="007338A5" w:rsidRDefault="005D3CEE" w:rsidP="007338A5">
      <w:pPr>
        <w:spacing w:line="240" w:lineRule="auto"/>
        <w:jc w:val="both"/>
        <w:rPr>
          <w:rFonts w:asciiTheme="minorHAnsi" w:eastAsia="Times New Roman" w:hAnsiTheme="minorHAnsi" w:cs="Arial"/>
          <w:lang w:val="en-GB"/>
        </w:rPr>
      </w:pPr>
      <w:r w:rsidRPr="007338A5">
        <w:rPr>
          <w:rFonts w:asciiTheme="minorHAnsi" w:eastAsia="Times New Roman" w:hAnsiTheme="minorHAnsi" w:cs="Arial"/>
          <w:lang w:val="en-GB"/>
        </w:rPr>
        <w:t xml:space="preserve">The conference organizers hope to produce a series of DDM conferences in the coming years. For this first one, we have chosen to focus on </w:t>
      </w:r>
      <w:r w:rsidRPr="007338A5">
        <w:rPr>
          <w:rFonts w:asciiTheme="minorHAnsi" w:eastAsia="Times New Roman" w:hAnsiTheme="minorHAnsi" w:cs="Arial"/>
          <w:i/>
          <w:iCs/>
          <w:lang w:val="en-GB"/>
        </w:rPr>
        <w:t>Civic Tech</w:t>
      </w:r>
      <w:r w:rsidRPr="007338A5">
        <w:rPr>
          <w:rFonts w:asciiTheme="minorHAnsi" w:eastAsia="Times New Roman" w:hAnsiTheme="minorHAnsi" w:cs="Arial"/>
          <w:lang w:val="en-GB"/>
        </w:rPr>
        <w:t>, which is technol</w:t>
      </w:r>
      <w:r w:rsidR="002C7C2E" w:rsidRPr="007338A5">
        <w:rPr>
          <w:rFonts w:asciiTheme="minorHAnsi" w:eastAsia="Times New Roman" w:hAnsiTheme="minorHAnsi" w:cs="Arial"/>
          <w:lang w:val="en-GB"/>
        </w:rPr>
        <w:t>ogy that opens up government or</w:t>
      </w:r>
      <w:bookmarkStart w:id="0" w:name="_GoBack"/>
      <w:bookmarkEnd w:id="0"/>
      <w:r w:rsidRPr="007338A5">
        <w:rPr>
          <w:rFonts w:asciiTheme="minorHAnsi" w:eastAsia="Times New Roman" w:hAnsiTheme="minorHAnsi" w:cs="Arial"/>
          <w:lang w:val="en-GB"/>
        </w:rPr>
        <w:t xml:space="preserve"> is used for community action. Online Deliberation was one of the earliest visions of using ICTs towards civic ends. As ICTs developed over years, efforts to promote civic engagement through technologies have been broadened to many other non-deliberation based activities, which can be grouped under the concept of </w:t>
      </w:r>
      <w:r w:rsidRPr="007338A5">
        <w:rPr>
          <w:rFonts w:asciiTheme="minorHAnsi" w:eastAsia="Times New Roman" w:hAnsiTheme="minorHAnsi" w:cs="Arial"/>
          <w:i/>
          <w:lang w:val="en-GB"/>
        </w:rPr>
        <w:t>Civic Tech</w:t>
      </w:r>
      <w:r w:rsidRPr="007338A5">
        <w:rPr>
          <w:rFonts w:asciiTheme="minorHAnsi" w:eastAsia="Times New Roman" w:hAnsiTheme="minorHAnsi" w:cs="Arial"/>
          <w:lang w:val="en-GB"/>
        </w:rPr>
        <w:t>. These developments challenge the presumptions of what online deliberation is about and contribute to innovations in the field.</w:t>
      </w:r>
    </w:p>
    <w:p w:rsidR="00F73741" w:rsidRPr="007338A5" w:rsidRDefault="00F73741" w:rsidP="007338A5">
      <w:pPr>
        <w:spacing w:line="240" w:lineRule="auto"/>
        <w:jc w:val="both"/>
        <w:rPr>
          <w:rFonts w:asciiTheme="minorHAnsi" w:eastAsia="Times New Roman" w:hAnsiTheme="minorHAnsi" w:cs="Arial"/>
          <w:lang w:val="en-GB"/>
        </w:rPr>
      </w:pPr>
    </w:p>
    <w:p w:rsidR="005D3CEE" w:rsidRPr="007338A5" w:rsidRDefault="005D3CEE" w:rsidP="007338A5">
      <w:pPr>
        <w:spacing w:line="240" w:lineRule="auto"/>
        <w:jc w:val="both"/>
        <w:rPr>
          <w:rFonts w:asciiTheme="minorHAnsi" w:hAnsiTheme="minorHAnsi"/>
        </w:rPr>
      </w:pPr>
      <w:r w:rsidRPr="007338A5">
        <w:rPr>
          <w:rFonts w:asciiTheme="minorHAnsi" w:eastAsia="Times New Roman" w:hAnsiTheme="minorHAnsi" w:cs="Arial"/>
          <w:lang w:val="en-GB"/>
        </w:rPr>
        <w:t xml:space="preserve">DDM 2017 follows in a line of previous high-level scientific conferences that have focused on Online Deliberation, but with the intention of broadening the focus to explicitly include </w:t>
      </w:r>
      <w:r w:rsidRPr="007338A5">
        <w:rPr>
          <w:rFonts w:asciiTheme="minorHAnsi" w:eastAsia="Times New Roman" w:hAnsiTheme="minorHAnsi" w:cs="Arial"/>
          <w:i/>
          <w:lang w:val="en-GB"/>
        </w:rPr>
        <w:t>decision making</w:t>
      </w:r>
      <w:r w:rsidRPr="007338A5">
        <w:rPr>
          <w:rFonts w:asciiTheme="minorHAnsi" w:eastAsia="Times New Roman" w:hAnsiTheme="minorHAnsi" w:cs="Arial"/>
          <w:lang w:val="en-GB"/>
        </w:rPr>
        <w:t xml:space="preserve">, and specifically, </w:t>
      </w:r>
      <w:r w:rsidRPr="007338A5">
        <w:rPr>
          <w:rFonts w:asciiTheme="minorHAnsi" w:eastAsia="Times New Roman" w:hAnsiTheme="minorHAnsi" w:cs="Arial"/>
          <w:i/>
          <w:lang w:val="en-GB"/>
        </w:rPr>
        <w:t>Civic Tech</w:t>
      </w:r>
      <w:r w:rsidRPr="007338A5">
        <w:rPr>
          <w:rFonts w:asciiTheme="minorHAnsi" w:eastAsia="Times New Roman" w:hAnsiTheme="minorHAnsi" w:cs="Arial"/>
          <w:lang w:val="en-GB"/>
        </w:rPr>
        <w:t xml:space="preserve"> that supports DDM.  </w:t>
      </w:r>
    </w:p>
    <w:p w:rsidR="005D3CEE" w:rsidRPr="007338A5" w:rsidRDefault="005D3CEE" w:rsidP="007338A5">
      <w:pPr>
        <w:spacing w:line="240" w:lineRule="auto"/>
        <w:jc w:val="both"/>
        <w:rPr>
          <w:rFonts w:asciiTheme="minorHAnsi" w:hAnsiTheme="minorHAnsi"/>
        </w:rPr>
      </w:pPr>
      <w:r w:rsidRPr="007338A5">
        <w:rPr>
          <w:rFonts w:asciiTheme="minorHAnsi" w:eastAsia="Times New Roman" w:hAnsiTheme="minorHAnsi" w:cs="Arial"/>
          <w:lang w:val="en-GB"/>
        </w:rPr>
        <w:t>The DDM 2017 conference focuses on, but is not limited to, the following topics:</w:t>
      </w:r>
    </w:p>
    <w:p w:rsidR="005D3CEE" w:rsidRPr="007338A5" w:rsidRDefault="005D3CEE" w:rsidP="007338A5">
      <w:pPr>
        <w:numPr>
          <w:ilvl w:val="0"/>
          <w:numId w:val="1"/>
        </w:numPr>
        <w:spacing w:line="240" w:lineRule="auto"/>
        <w:jc w:val="both"/>
        <w:rPr>
          <w:rFonts w:asciiTheme="minorHAnsi" w:hAnsiTheme="minorHAnsi"/>
        </w:rPr>
      </w:pPr>
      <w:r w:rsidRPr="007338A5">
        <w:rPr>
          <w:rFonts w:asciiTheme="minorHAnsi" w:eastAsia="Times New Roman" w:hAnsiTheme="minorHAnsi" w:cs="Arial"/>
          <w:lang w:val="en-GB"/>
        </w:rPr>
        <w:t xml:space="preserve">links between </w:t>
      </w:r>
      <w:r w:rsidRPr="007338A5">
        <w:rPr>
          <w:rFonts w:asciiTheme="minorHAnsi" w:eastAsia="Times New Roman" w:hAnsiTheme="minorHAnsi" w:cs="Arial"/>
          <w:b/>
          <w:lang w:val="en-GB"/>
        </w:rPr>
        <w:t>theories</w:t>
      </w:r>
      <w:r w:rsidRPr="007338A5">
        <w:rPr>
          <w:rFonts w:asciiTheme="minorHAnsi" w:eastAsia="Times New Roman" w:hAnsiTheme="minorHAnsi" w:cs="Arial"/>
          <w:lang w:val="en-GB"/>
        </w:rPr>
        <w:t xml:space="preserve"> of collective decision making </w:t>
      </w:r>
      <w:r w:rsidRPr="007338A5">
        <w:rPr>
          <w:rFonts w:asciiTheme="minorHAnsi" w:eastAsia="Times New Roman" w:hAnsiTheme="minorHAnsi" w:cs="Arial"/>
        </w:rPr>
        <w:t>(such as deliberative democracy, behavior sciences, decision sciences)</w:t>
      </w:r>
      <w:r w:rsidRPr="007338A5">
        <w:rPr>
          <w:rFonts w:asciiTheme="minorHAnsi" w:eastAsia="Times New Roman" w:hAnsiTheme="minorHAnsi" w:cs="Arial"/>
          <w:lang w:val="en-GB"/>
        </w:rPr>
        <w:t xml:space="preserve"> and technologies </w:t>
      </w:r>
      <w:r w:rsidRPr="007338A5">
        <w:rPr>
          <w:rFonts w:asciiTheme="minorHAnsi" w:eastAsia="Times New Roman" w:hAnsiTheme="minorHAnsi" w:cs="Arial"/>
        </w:rPr>
        <w:t>(such as crowdsourcing, argument visualization, and big data)</w:t>
      </w:r>
      <w:r w:rsidRPr="007338A5">
        <w:rPr>
          <w:rFonts w:asciiTheme="minorHAnsi" w:eastAsia="Times New Roman" w:hAnsiTheme="minorHAnsi" w:cs="Arial"/>
          <w:lang w:val="en-GB"/>
        </w:rPr>
        <w:t>;</w:t>
      </w:r>
      <w:r w:rsidRPr="007338A5">
        <w:rPr>
          <w:rFonts w:asciiTheme="minorHAnsi" w:eastAsia="Times New Roman" w:hAnsiTheme="minorHAnsi" w:cs="Arial"/>
        </w:rPr>
        <w:t xml:space="preserve"> </w:t>
      </w:r>
    </w:p>
    <w:p w:rsidR="005D3CEE" w:rsidRPr="007338A5" w:rsidRDefault="005D3CEE" w:rsidP="007338A5">
      <w:pPr>
        <w:numPr>
          <w:ilvl w:val="0"/>
          <w:numId w:val="1"/>
        </w:numPr>
        <w:spacing w:line="240" w:lineRule="auto"/>
        <w:jc w:val="both"/>
        <w:rPr>
          <w:rFonts w:asciiTheme="minorHAnsi" w:hAnsiTheme="minorHAnsi"/>
        </w:rPr>
      </w:pPr>
      <w:r w:rsidRPr="007338A5">
        <w:rPr>
          <w:rFonts w:asciiTheme="minorHAnsi" w:eastAsia="Times New Roman" w:hAnsiTheme="minorHAnsi" w:cs="Arial"/>
          <w:lang w:val="en-GB"/>
        </w:rPr>
        <w:t xml:space="preserve">current </w:t>
      </w:r>
      <w:r w:rsidRPr="007338A5">
        <w:rPr>
          <w:rFonts w:asciiTheme="minorHAnsi" w:eastAsia="Times New Roman" w:hAnsiTheme="minorHAnsi" w:cs="Arial"/>
          <w:b/>
          <w:lang w:val="en-GB"/>
        </w:rPr>
        <w:t>research</w:t>
      </w:r>
      <w:r w:rsidRPr="007338A5">
        <w:rPr>
          <w:rFonts w:asciiTheme="minorHAnsi" w:eastAsia="Times New Roman" w:hAnsiTheme="minorHAnsi" w:cs="Arial"/>
          <w:lang w:val="en-GB"/>
        </w:rPr>
        <w:t xml:space="preserve"> on civic techs that enable deliberation and decision making both online and face to face;</w:t>
      </w:r>
      <w:r w:rsidRPr="007338A5">
        <w:rPr>
          <w:rFonts w:asciiTheme="minorHAnsi" w:eastAsia="Times New Roman" w:hAnsiTheme="minorHAnsi" w:cs="Arial"/>
        </w:rPr>
        <w:t xml:space="preserve"> </w:t>
      </w:r>
      <w:r w:rsidRPr="007338A5">
        <w:rPr>
          <w:rFonts w:asciiTheme="minorHAnsi" w:eastAsia="Times New Roman" w:hAnsiTheme="minorHAnsi" w:cs="Arial"/>
          <w:lang w:val="en-GB"/>
        </w:rPr>
        <w:t>research challenges posed for researchers, governments, communities and citizens in applying technologies for civic purposes;</w:t>
      </w:r>
      <w:r w:rsidRPr="007338A5">
        <w:rPr>
          <w:rFonts w:asciiTheme="minorHAnsi" w:eastAsia="Times New Roman" w:hAnsiTheme="minorHAnsi" w:cs="Arial"/>
        </w:rPr>
        <w:t xml:space="preserve"> </w:t>
      </w:r>
    </w:p>
    <w:p w:rsidR="00947B49" w:rsidRPr="007338A5" w:rsidRDefault="005D3CEE" w:rsidP="007338A5">
      <w:pPr>
        <w:numPr>
          <w:ilvl w:val="0"/>
          <w:numId w:val="1"/>
        </w:numPr>
        <w:spacing w:line="240" w:lineRule="auto"/>
        <w:jc w:val="both"/>
        <w:rPr>
          <w:rFonts w:asciiTheme="minorHAnsi" w:hAnsiTheme="minorHAnsi"/>
        </w:rPr>
      </w:pPr>
      <w:r w:rsidRPr="007338A5">
        <w:rPr>
          <w:rFonts w:asciiTheme="minorHAnsi" w:eastAsia="Times New Roman" w:hAnsiTheme="minorHAnsi" w:cs="Arial"/>
        </w:rPr>
        <w:lastRenderedPageBreak/>
        <w:t xml:space="preserve">civic tech </w:t>
      </w:r>
      <w:r w:rsidRPr="007338A5">
        <w:rPr>
          <w:rFonts w:asciiTheme="minorHAnsi" w:eastAsia="Times New Roman" w:hAnsiTheme="minorHAnsi" w:cs="Arial"/>
          <w:b/>
        </w:rPr>
        <w:t>interventions</w:t>
      </w:r>
      <w:r w:rsidRPr="007338A5">
        <w:rPr>
          <w:rFonts w:asciiTheme="minorHAnsi" w:eastAsia="Times New Roman" w:hAnsiTheme="minorHAnsi" w:cs="Arial"/>
        </w:rPr>
        <w:t xml:space="preserve"> using novel settings, modes or approaches; and descriptions of tools and techniques that are already being tested or fielded</w:t>
      </w:r>
      <w:r w:rsidRPr="007338A5">
        <w:rPr>
          <w:rFonts w:asciiTheme="minorHAnsi" w:eastAsia="Times New Roman" w:hAnsiTheme="minorHAnsi" w:cs="Arial"/>
          <w:lang w:val="en-GB"/>
        </w:rPr>
        <w:t>;</w:t>
      </w:r>
      <w:r w:rsidRPr="007338A5">
        <w:rPr>
          <w:rFonts w:asciiTheme="minorHAnsi" w:eastAsia="Times New Roman" w:hAnsiTheme="minorHAnsi" w:cs="Arial"/>
        </w:rPr>
        <w:t xml:space="preserve"> case studies in applying and evaluating civic tech in various formal and informal engagement domains</w:t>
      </w:r>
    </w:p>
    <w:p w:rsidR="005D3CEE" w:rsidRPr="007338A5" w:rsidRDefault="005D3CEE" w:rsidP="007338A5">
      <w:pPr>
        <w:spacing w:line="240" w:lineRule="auto"/>
        <w:jc w:val="both"/>
        <w:rPr>
          <w:rFonts w:asciiTheme="minorHAnsi" w:hAnsiTheme="minorHAnsi"/>
        </w:rPr>
      </w:pPr>
    </w:p>
    <w:p w:rsidR="005D3CEE" w:rsidRPr="007338A5" w:rsidRDefault="005D3CEE" w:rsidP="007338A5">
      <w:pPr>
        <w:spacing w:line="240" w:lineRule="auto"/>
        <w:jc w:val="both"/>
        <w:rPr>
          <w:rFonts w:asciiTheme="minorHAnsi" w:eastAsia="Times New Roman" w:hAnsiTheme="minorHAnsi" w:cs="Arial"/>
          <w:b/>
          <w:bCs/>
          <w:iCs/>
          <w:lang w:val="en-GB"/>
        </w:rPr>
      </w:pPr>
      <w:r w:rsidRPr="007338A5">
        <w:rPr>
          <w:rFonts w:asciiTheme="minorHAnsi" w:eastAsia="Times New Roman" w:hAnsiTheme="minorHAnsi" w:cs="Arial"/>
          <w:b/>
          <w:bCs/>
          <w:iCs/>
          <w:lang w:val="en-GB"/>
        </w:rPr>
        <w:t xml:space="preserve">Guidelines for papers and other submissions </w:t>
      </w:r>
    </w:p>
    <w:p w:rsidR="005D3CEE" w:rsidRPr="007338A5" w:rsidRDefault="005D3CEE" w:rsidP="007338A5">
      <w:pPr>
        <w:spacing w:line="240" w:lineRule="auto"/>
        <w:jc w:val="both"/>
        <w:rPr>
          <w:rFonts w:asciiTheme="minorHAnsi" w:hAnsiTheme="minorHAnsi"/>
        </w:rPr>
      </w:pPr>
      <w:r w:rsidRPr="007338A5">
        <w:rPr>
          <w:rFonts w:asciiTheme="minorHAnsi" w:eastAsia="Times New Roman" w:hAnsiTheme="minorHAnsi" w:cs="Arial"/>
          <w:lang w:val="en-GB"/>
        </w:rPr>
        <w:t>The conference allows for four distinct types of submissions:</w:t>
      </w:r>
    </w:p>
    <w:p w:rsidR="005D3CEE" w:rsidRPr="007338A5" w:rsidRDefault="005D3CEE" w:rsidP="007338A5">
      <w:pPr>
        <w:numPr>
          <w:ilvl w:val="0"/>
          <w:numId w:val="2"/>
        </w:numPr>
        <w:spacing w:line="240" w:lineRule="auto"/>
        <w:jc w:val="both"/>
        <w:rPr>
          <w:rFonts w:asciiTheme="minorHAnsi" w:hAnsiTheme="minorHAnsi"/>
        </w:rPr>
      </w:pPr>
      <w:r w:rsidRPr="007338A5">
        <w:rPr>
          <w:rFonts w:asciiTheme="minorHAnsi" w:eastAsia="Times New Roman" w:hAnsiTheme="minorHAnsi" w:cs="Arial"/>
          <w:lang w:val="en-GB"/>
        </w:rPr>
        <w:t xml:space="preserve">Research papers </w:t>
      </w:r>
    </w:p>
    <w:p w:rsidR="005D3CEE" w:rsidRPr="007338A5" w:rsidRDefault="005D3CEE" w:rsidP="007338A5">
      <w:pPr>
        <w:numPr>
          <w:ilvl w:val="0"/>
          <w:numId w:val="2"/>
        </w:numPr>
        <w:spacing w:line="240" w:lineRule="auto"/>
        <w:jc w:val="both"/>
        <w:rPr>
          <w:rFonts w:asciiTheme="minorHAnsi" w:hAnsiTheme="minorHAnsi"/>
        </w:rPr>
      </w:pPr>
      <w:r w:rsidRPr="007338A5">
        <w:rPr>
          <w:rFonts w:asciiTheme="minorHAnsi" w:eastAsia="Times New Roman" w:hAnsiTheme="minorHAnsi" w:cs="Arial"/>
          <w:lang w:val="en-GB"/>
        </w:rPr>
        <w:t xml:space="preserve">Exploratory papers on ongoing research and innovative projects </w:t>
      </w:r>
    </w:p>
    <w:p w:rsidR="005D3CEE" w:rsidRPr="007338A5" w:rsidRDefault="005D3CEE" w:rsidP="007338A5">
      <w:pPr>
        <w:numPr>
          <w:ilvl w:val="0"/>
          <w:numId w:val="2"/>
        </w:numPr>
        <w:spacing w:line="240" w:lineRule="auto"/>
        <w:jc w:val="both"/>
        <w:rPr>
          <w:rFonts w:asciiTheme="minorHAnsi" w:hAnsiTheme="minorHAnsi"/>
        </w:rPr>
      </w:pPr>
      <w:r w:rsidRPr="007338A5">
        <w:rPr>
          <w:rFonts w:asciiTheme="minorHAnsi" w:eastAsia="Times New Roman" w:hAnsiTheme="minorHAnsi" w:cs="Arial"/>
          <w:lang w:val="en-GB"/>
        </w:rPr>
        <w:t>Technology demonstrators</w:t>
      </w:r>
      <w:r w:rsidRPr="007338A5">
        <w:rPr>
          <w:rFonts w:asciiTheme="minorHAnsi" w:eastAsia="Times New Roman" w:hAnsiTheme="minorHAnsi" w:cs="Arial"/>
        </w:rPr>
        <w:t xml:space="preserve"> </w:t>
      </w:r>
    </w:p>
    <w:p w:rsidR="005D3CEE" w:rsidRPr="007338A5" w:rsidRDefault="005D3CEE" w:rsidP="007338A5">
      <w:pPr>
        <w:numPr>
          <w:ilvl w:val="0"/>
          <w:numId w:val="2"/>
        </w:numPr>
        <w:spacing w:line="240" w:lineRule="auto"/>
        <w:jc w:val="both"/>
        <w:rPr>
          <w:rFonts w:asciiTheme="minorHAnsi" w:hAnsiTheme="minorHAnsi"/>
        </w:rPr>
      </w:pPr>
      <w:r w:rsidRPr="007338A5">
        <w:rPr>
          <w:rFonts w:asciiTheme="minorHAnsi" w:eastAsia="Times New Roman" w:hAnsiTheme="minorHAnsi" w:cs="Arial"/>
          <w:lang w:val="en-GB"/>
        </w:rPr>
        <w:t xml:space="preserve">Panels on pertinent issues </w:t>
      </w:r>
    </w:p>
    <w:p w:rsidR="00F73741" w:rsidRPr="007338A5" w:rsidRDefault="00F73741" w:rsidP="007338A5">
      <w:pPr>
        <w:spacing w:line="240" w:lineRule="auto"/>
        <w:jc w:val="both"/>
        <w:rPr>
          <w:rFonts w:asciiTheme="minorHAnsi" w:eastAsia="Times New Roman" w:hAnsiTheme="minorHAnsi" w:cs="Arial"/>
          <w:b/>
          <w:bCs/>
          <w:i/>
          <w:iCs/>
          <w:lang w:val="en-GB"/>
        </w:rPr>
      </w:pPr>
    </w:p>
    <w:p w:rsidR="007338A5" w:rsidRDefault="005D3CEE" w:rsidP="007338A5">
      <w:pPr>
        <w:spacing w:line="240" w:lineRule="auto"/>
        <w:jc w:val="both"/>
        <w:rPr>
          <w:rFonts w:asciiTheme="minorHAnsi" w:eastAsia="Times New Roman" w:hAnsiTheme="minorHAnsi" w:cs="Arial"/>
          <w:b/>
          <w:bCs/>
          <w:i/>
          <w:iCs/>
          <w:lang w:val="en-GB"/>
        </w:rPr>
      </w:pPr>
      <w:r w:rsidRPr="007338A5">
        <w:rPr>
          <w:rFonts w:asciiTheme="minorHAnsi" w:eastAsia="Times New Roman" w:hAnsiTheme="minorHAnsi" w:cs="Arial"/>
          <w:b/>
          <w:bCs/>
          <w:i/>
          <w:iCs/>
          <w:lang w:val="en-GB"/>
        </w:rPr>
        <w:t xml:space="preserve">Research papers </w:t>
      </w:r>
    </w:p>
    <w:p w:rsidR="007338A5" w:rsidRDefault="005D3CEE" w:rsidP="007338A5">
      <w:pPr>
        <w:spacing w:line="240" w:lineRule="auto"/>
        <w:jc w:val="both"/>
        <w:rPr>
          <w:rFonts w:asciiTheme="minorHAnsi" w:eastAsia="Times New Roman" w:hAnsiTheme="minorHAnsi" w:cs="Arial"/>
          <w:lang w:val="en-GB"/>
        </w:rPr>
      </w:pPr>
      <w:r w:rsidRPr="007338A5">
        <w:rPr>
          <w:rFonts w:asciiTheme="minorHAnsi" w:eastAsia="Times New Roman" w:hAnsiTheme="minorHAnsi" w:cs="Arial"/>
          <w:lang w:val="en-GB"/>
        </w:rPr>
        <w:t xml:space="preserve">These papers should have a strong focus on scientific rigour and may be a maximum of 20 pages (excluding references, tables/figures, and appendix). Papers in this track will be peer reviewed for rigour, relevance, originality and clarity of presentation. Abstracts or incomplete papers will not be accepted. </w:t>
      </w:r>
    </w:p>
    <w:p w:rsidR="007338A5" w:rsidRDefault="005D3CEE" w:rsidP="007338A5">
      <w:pPr>
        <w:spacing w:line="240" w:lineRule="auto"/>
        <w:jc w:val="both"/>
        <w:rPr>
          <w:rFonts w:asciiTheme="minorHAnsi" w:eastAsia="Times New Roman" w:hAnsiTheme="minorHAnsi" w:cs="Arial"/>
          <w:b/>
          <w:bCs/>
          <w:i/>
          <w:iCs/>
          <w:lang w:val="en-GB"/>
        </w:rPr>
      </w:pPr>
      <w:r w:rsidRPr="007338A5">
        <w:rPr>
          <w:rFonts w:asciiTheme="minorHAnsi" w:eastAsia="Times New Roman" w:hAnsiTheme="minorHAnsi" w:cs="Arial"/>
          <w:lang w:val="en-GB"/>
        </w:rPr>
        <w:br/>
      </w:r>
      <w:r w:rsidRPr="007338A5">
        <w:rPr>
          <w:rFonts w:asciiTheme="minorHAnsi" w:eastAsia="Times New Roman" w:hAnsiTheme="minorHAnsi" w:cs="Arial"/>
          <w:b/>
          <w:bCs/>
          <w:i/>
          <w:iCs/>
          <w:lang w:val="en-GB"/>
        </w:rPr>
        <w:t>Exploratory papers</w:t>
      </w:r>
    </w:p>
    <w:p w:rsidR="005D3CEE" w:rsidRPr="007338A5" w:rsidRDefault="005D3CEE" w:rsidP="007338A5">
      <w:pPr>
        <w:spacing w:line="240" w:lineRule="auto"/>
        <w:jc w:val="both"/>
        <w:rPr>
          <w:rFonts w:asciiTheme="minorHAnsi" w:hAnsiTheme="minorHAnsi"/>
        </w:rPr>
      </w:pPr>
      <w:r w:rsidRPr="007338A5">
        <w:rPr>
          <w:rFonts w:asciiTheme="minorHAnsi" w:eastAsia="Times New Roman" w:hAnsiTheme="minorHAnsi" w:cs="Arial"/>
          <w:lang w:val="en-GB"/>
        </w:rPr>
        <w:t xml:space="preserve">These papers </w:t>
      </w:r>
      <w:r w:rsidRPr="007338A5">
        <w:rPr>
          <w:rFonts w:asciiTheme="minorHAnsi" w:eastAsia="Times New Roman" w:hAnsiTheme="minorHAnsi" w:cs="Arial"/>
        </w:rPr>
        <w:t xml:space="preserve">describe novel concepts, works-in-progress, reflections, manifestos or other ideas and issues that are not currently suitable for a complete research paper. </w:t>
      </w:r>
      <w:r w:rsidRPr="007338A5">
        <w:rPr>
          <w:rFonts w:asciiTheme="minorHAnsi" w:eastAsia="Times New Roman" w:hAnsiTheme="minorHAnsi" w:cs="Arial"/>
          <w:lang w:val="en-GB"/>
        </w:rPr>
        <w:t>They may be a maximum of 5 pages. Papers in this section will also be peer reviewed, but the focus is on relevance more than scientific rigour.</w:t>
      </w:r>
    </w:p>
    <w:p w:rsidR="00F73741" w:rsidRPr="007338A5" w:rsidRDefault="00F73741" w:rsidP="007338A5">
      <w:pPr>
        <w:spacing w:line="240" w:lineRule="auto"/>
        <w:jc w:val="both"/>
        <w:rPr>
          <w:rFonts w:asciiTheme="minorHAnsi" w:eastAsia="Times New Roman" w:hAnsiTheme="minorHAnsi" w:cs="Arial"/>
          <w:b/>
          <w:bCs/>
          <w:i/>
          <w:iCs/>
          <w:lang w:val="en-GB"/>
        </w:rPr>
      </w:pPr>
    </w:p>
    <w:p w:rsidR="007338A5" w:rsidRDefault="005D3CEE" w:rsidP="007338A5">
      <w:pPr>
        <w:spacing w:line="240" w:lineRule="auto"/>
        <w:jc w:val="both"/>
        <w:rPr>
          <w:rFonts w:asciiTheme="minorHAnsi" w:eastAsia="Times New Roman" w:hAnsiTheme="minorHAnsi" w:cs="Arial"/>
          <w:b/>
          <w:bCs/>
          <w:i/>
          <w:iCs/>
          <w:lang w:val="en-GB"/>
        </w:rPr>
      </w:pPr>
      <w:r w:rsidRPr="007338A5">
        <w:rPr>
          <w:rFonts w:asciiTheme="minorHAnsi" w:eastAsia="Times New Roman" w:hAnsiTheme="minorHAnsi" w:cs="Arial"/>
          <w:b/>
          <w:bCs/>
          <w:i/>
          <w:iCs/>
          <w:lang w:val="en-GB"/>
        </w:rPr>
        <w:t xml:space="preserve">Technology demonstrators </w:t>
      </w:r>
    </w:p>
    <w:p w:rsidR="005D3CEE" w:rsidRPr="007338A5" w:rsidRDefault="005D3CEE" w:rsidP="007338A5">
      <w:pPr>
        <w:spacing w:line="240" w:lineRule="auto"/>
        <w:jc w:val="both"/>
        <w:rPr>
          <w:rFonts w:asciiTheme="minorHAnsi" w:hAnsiTheme="minorHAnsi"/>
        </w:rPr>
      </w:pPr>
      <w:r w:rsidRPr="007338A5">
        <w:rPr>
          <w:rFonts w:asciiTheme="minorHAnsi" w:eastAsia="Times New Roman" w:hAnsiTheme="minorHAnsi" w:cs="Arial"/>
          <w:lang w:val="en-GB"/>
        </w:rPr>
        <w:t>Proposals for technology demonstrators</w:t>
      </w:r>
      <w:r w:rsidRPr="007338A5">
        <w:rPr>
          <w:rFonts w:asciiTheme="minorHAnsi" w:eastAsia="Times New Roman" w:hAnsiTheme="minorHAnsi" w:cs="Arial"/>
        </w:rPr>
        <w:t xml:space="preserve"> (two pages) should include a description of the demo, objectives, examples of testing and application and, if possible, a URL where the technology can be viewed.</w:t>
      </w:r>
    </w:p>
    <w:p w:rsidR="00F73741" w:rsidRPr="007338A5" w:rsidRDefault="00F73741" w:rsidP="007338A5">
      <w:pPr>
        <w:spacing w:line="240" w:lineRule="auto"/>
        <w:jc w:val="both"/>
        <w:rPr>
          <w:rFonts w:asciiTheme="minorHAnsi" w:eastAsia="Times New Roman" w:hAnsiTheme="minorHAnsi" w:cs="Arial"/>
          <w:b/>
          <w:bCs/>
          <w:i/>
          <w:iCs/>
          <w:lang w:val="en-GB"/>
        </w:rPr>
      </w:pPr>
    </w:p>
    <w:p w:rsidR="005D3CEE" w:rsidRPr="007338A5" w:rsidRDefault="005D3CEE" w:rsidP="007338A5">
      <w:pPr>
        <w:spacing w:line="240" w:lineRule="auto"/>
        <w:jc w:val="both"/>
        <w:rPr>
          <w:rFonts w:asciiTheme="minorHAnsi" w:hAnsiTheme="minorHAnsi"/>
        </w:rPr>
      </w:pPr>
      <w:r w:rsidRPr="007338A5">
        <w:rPr>
          <w:rFonts w:asciiTheme="minorHAnsi" w:eastAsia="Times New Roman" w:hAnsiTheme="minorHAnsi" w:cs="Arial"/>
          <w:b/>
          <w:bCs/>
          <w:i/>
          <w:iCs/>
          <w:lang w:val="en-GB"/>
        </w:rPr>
        <w:t xml:space="preserve">Panels </w:t>
      </w:r>
      <w:r w:rsidRPr="007338A5">
        <w:rPr>
          <w:rFonts w:asciiTheme="minorHAnsi" w:eastAsia="Times New Roman" w:hAnsiTheme="minorHAnsi" w:cs="Arial"/>
          <w:lang w:val="en-GB"/>
        </w:rPr>
        <w:br/>
        <w:t>Proposals for panels</w:t>
      </w:r>
      <w:r w:rsidRPr="007338A5">
        <w:rPr>
          <w:rFonts w:asciiTheme="minorHAnsi" w:eastAsia="Times New Roman" w:hAnsiTheme="minorHAnsi" w:cs="Arial"/>
        </w:rPr>
        <w:t xml:space="preserve"> (two pages) should include motivation, objectives, expected outcomes, approach to audience interaction and panel members. Panels are currently planned to be 1.5 hours long. Panels proposal will also be peer reviewed. </w:t>
      </w:r>
    </w:p>
    <w:p w:rsidR="005D3CEE" w:rsidRPr="007338A5" w:rsidRDefault="005D3CEE" w:rsidP="007338A5">
      <w:pPr>
        <w:spacing w:line="240" w:lineRule="auto"/>
        <w:jc w:val="both"/>
        <w:rPr>
          <w:rFonts w:asciiTheme="minorHAnsi" w:hAnsiTheme="minorHAnsi"/>
        </w:rPr>
      </w:pPr>
    </w:p>
    <w:p w:rsidR="005D3CEE" w:rsidRPr="007338A5" w:rsidRDefault="005D3CEE" w:rsidP="007338A5">
      <w:pPr>
        <w:spacing w:line="240" w:lineRule="auto"/>
        <w:jc w:val="both"/>
        <w:rPr>
          <w:rFonts w:asciiTheme="minorHAnsi" w:hAnsiTheme="minorHAnsi"/>
        </w:rPr>
      </w:pPr>
      <w:r w:rsidRPr="007338A5">
        <w:rPr>
          <w:rFonts w:asciiTheme="minorHAnsi" w:eastAsia="Times New Roman" w:hAnsiTheme="minorHAnsi" w:cs="Arial"/>
        </w:rPr>
        <w:t>All submissions must be made via the conference submission system web site. Submissions should be written in English and non-English speakers are encouraged to have their submissions reviewed for language prior to submission. Submissions should be formatted using 12 point Times-Roman font on A4 sized paper. Accepted research and exploratory papers should be revised according to reviewer comments and resubmitted by the deadline.</w:t>
      </w:r>
    </w:p>
    <w:p w:rsidR="005D3CEE" w:rsidRPr="007338A5" w:rsidRDefault="005D3CEE" w:rsidP="007338A5">
      <w:pPr>
        <w:spacing w:line="240" w:lineRule="auto"/>
        <w:jc w:val="both"/>
        <w:rPr>
          <w:rFonts w:asciiTheme="minorHAnsi" w:hAnsiTheme="minorHAnsi"/>
        </w:rPr>
      </w:pPr>
    </w:p>
    <w:p w:rsidR="005D3CEE" w:rsidRPr="007338A5" w:rsidRDefault="005D3CEE" w:rsidP="007338A5">
      <w:pPr>
        <w:spacing w:line="240" w:lineRule="auto"/>
        <w:jc w:val="both"/>
        <w:rPr>
          <w:rFonts w:asciiTheme="minorHAnsi" w:hAnsiTheme="minorHAnsi"/>
        </w:rPr>
      </w:pPr>
      <w:r w:rsidRPr="007338A5">
        <w:rPr>
          <w:rFonts w:asciiTheme="minorHAnsi" w:eastAsia="Times New Roman" w:hAnsiTheme="minorHAnsi" w:cs="Arial"/>
          <w:b/>
          <w:i/>
        </w:rPr>
        <w:t xml:space="preserve">Publication options </w:t>
      </w:r>
    </w:p>
    <w:p w:rsidR="005D3CEE" w:rsidRPr="007338A5" w:rsidRDefault="005D3CEE" w:rsidP="007338A5">
      <w:pPr>
        <w:spacing w:line="240" w:lineRule="auto"/>
        <w:jc w:val="both"/>
        <w:rPr>
          <w:rFonts w:asciiTheme="minorHAnsi" w:hAnsiTheme="minorHAnsi"/>
        </w:rPr>
      </w:pPr>
      <w:r w:rsidRPr="007338A5">
        <w:rPr>
          <w:rFonts w:asciiTheme="minorHAnsi" w:eastAsia="Times New Roman" w:hAnsiTheme="minorHAnsi" w:cs="Arial"/>
        </w:rPr>
        <w:t xml:space="preserve">Option 1: Both research papers and exploratory papers are eligible for inclusion in a conference proceeding. </w:t>
      </w:r>
    </w:p>
    <w:p w:rsidR="005D3CEE" w:rsidRPr="007338A5" w:rsidRDefault="005D3CEE" w:rsidP="007338A5">
      <w:pPr>
        <w:spacing w:line="240" w:lineRule="auto"/>
        <w:jc w:val="both"/>
        <w:rPr>
          <w:rFonts w:asciiTheme="minorHAnsi" w:hAnsiTheme="minorHAnsi"/>
        </w:rPr>
      </w:pPr>
      <w:r w:rsidRPr="007338A5">
        <w:rPr>
          <w:rFonts w:asciiTheme="minorHAnsi" w:eastAsia="Times New Roman" w:hAnsiTheme="minorHAnsi" w:cs="Arial"/>
        </w:rPr>
        <w:t xml:space="preserve">Option 2: Research papers are eligible for inclusion in a journal special issue. A further selection process will be implemented. </w:t>
      </w:r>
    </w:p>
    <w:p w:rsidR="009A1735" w:rsidRPr="007338A5" w:rsidRDefault="009A1735" w:rsidP="007338A5">
      <w:pPr>
        <w:spacing w:line="240" w:lineRule="auto"/>
        <w:jc w:val="both"/>
        <w:rPr>
          <w:rFonts w:asciiTheme="minorHAnsi" w:hAnsiTheme="minorHAnsi"/>
        </w:rPr>
      </w:pPr>
      <w:r w:rsidRPr="007338A5">
        <w:rPr>
          <w:rFonts w:asciiTheme="minorHAnsi" w:eastAsia="Times New Roman" w:hAnsiTheme="minorHAnsi" w:cs="Arial"/>
          <w:b/>
          <w:bCs/>
        </w:rPr>
        <w:lastRenderedPageBreak/>
        <w:t>Sponsored by:</w:t>
      </w:r>
    </w:p>
    <w:p w:rsidR="009A1735" w:rsidRPr="007338A5" w:rsidRDefault="009A1735" w:rsidP="007338A5">
      <w:pPr>
        <w:spacing w:line="240" w:lineRule="auto"/>
        <w:jc w:val="both"/>
        <w:rPr>
          <w:rFonts w:asciiTheme="minorHAnsi" w:hAnsiTheme="minorHAnsi"/>
        </w:rPr>
      </w:pPr>
      <w:r w:rsidRPr="007338A5">
        <w:rPr>
          <w:rFonts w:asciiTheme="minorHAnsi" w:eastAsia="Times New Roman" w:hAnsiTheme="minorHAnsi" w:cs="Arial"/>
        </w:rPr>
        <w:t>Ministry of Education of Singapore through National University of Singapore</w:t>
      </w:r>
    </w:p>
    <w:p w:rsidR="009A1735" w:rsidRPr="007338A5" w:rsidRDefault="009A1735" w:rsidP="007338A5">
      <w:pPr>
        <w:spacing w:line="240" w:lineRule="auto"/>
        <w:jc w:val="both"/>
        <w:rPr>
          <w:rFonts w:asciiTheme="minorHAnsi" w:hAnsiTheme="minorHAnsi"/>
        </w:rPr>
      </w:pPr>
    </w:p>
    <w:p w:rsidR="007338A5" w:rsidRPr="007338A5" w:rsidRDefault="009A1735" w:rsidP="007338A5">
      <w:pPr>
        <w:spacing w:line="240" w:lineRule="auto"/>
        <w:jc w:val="both"/>
        <w:rPr>
          <w:rFonts w:asciiTheme="minorHAnsi" w:eastAsia="Times New Roman" w:hAnsiTheme="minorHAnsi" w:cs="Arial"/>
          <w:b/>
          <w:bCs/>
        </w:rPr>
      </w:pPr>
      <w:r w:rsidRPr="007338A5">
        <w:rPr>
          <w:rFonts w:asciiTheme="minorHAnsi" w:eastAsia="Times New Roman" w:hAnsiTheme="minorHAnsi" w:cs="Arial"/>
          <w:b/>
          <w:bCs/>
        </w:rPr>
        <w:t>Local Chairs:</w:t>
      </w:r>
    </w:p>
    <w:p w:rsidR="009A1735" w:rsidRPr="007338A5" w:rsidRDefault="009A1735" w:rsidP="007338A5">
      <w:pPr>
        <w:spacing w:line="240" w:lineRule="auto"/>
        <w:jc w:val="both"/>
        <w:rPr>
          <w:rFonts w:asciiTheme="minorHAnsi" w:hAnsiTheme="minorHAnsi"/>
        </w:rPr>
      </w:pPr>
      <w:proofErr w:type="spellStart"/>
      <w:r w:rsidRPr="007338A5">
        <w:rPr>
          <w:rFonts w:asciiTheme="minorHAnsi" w:eastAsia="Times New Roman" w:hAnsiTheme="minorHAnsi" w:cs="Arial"/>
        </w:rPr>
        <w:t>Weiyu</w:t>
      </w:r>
      <w:proofErr w:type="spellEnd"/>
      <w:r w:rsidRPr="007338A5">
        <w:rPr>
          <w:rFonts w:asciiTheme="minorHAnsi" w:eastAsia="Times New Roman" w:hAnsiTheme="minorHAnsi" w:cs="Arial"/>
        </w:rPr>
        <w:t xml:space="preserve"> Zhang, Department of Communications and New Media, National University of Singapore</w:t>
      </w:r>
    </w:p>
    <w:p w:rsidR="009A1735" w:rsidRPr="007338A5" w:rsidRDefault="009A1735" w:rsidP="007338A5">
      <w:pPr>
        <w:spacing w:line="240" w:lineRule="auto"/>
        <w:jc w:val="both"/>
        <w:rPr>
          <w:rFonts w:asciiTheme="minorHAnsi" w:hAnsiTheme="minorHAnsi"/>
        </w:rPr>
      </w:pPr>
      <w:r w:rsidRPr="007338A5">
        <w:rPr>
          <w:rFonts w:asciiTheme="minorHAnsi" w:eastAsia="Times New Roman" w:hAnsiTheme="minorHAnsi" w:cs="Arial"/>
        </w:rPr>
        <w:t xml:space="preserve">Simon Perrault, Yale-NUS, National University of Singapore </w:t>
      </w:r>
    </w:p>
    <w:p w:rsidR="009A1735" w:rsidRPr="007338A5" w:rsidRDefault="009A1735" w:rsidP="007338A5">
      <w:pPr>
        <w:spacing w:line="240" w:lineRule="auto"/>
        <w:jc w:val="both"/>
        <w:rPr>
          <w:rFonts w:asciiTheme="minorHAnsi" w:hAnsiTheme="minorHAnsi"/>
        </w:rPr>
      </w:pPr>
      <w:r w:rsidRPr="007338A5">
        <w:rPr>
          <w:rFonts w:asciiTheme="minorHAnsi" w:eastAsia="Times New Roman" w:hAnsiTheme="minorHAnsi" w:cs="Arial"/>
          <w:b/>
          <w:bCs/>
        </w:rPr>
        <w:t xml:space="preserve">Research Papers and Panels Chairs: </w:t>
      </w:r>
    </w:p>
    <w:p w:rsidR="009A1735" w:rsidRPr="007338A5" w:rsidRDefault="009A1735" w:rsidP="007338A5">
      <w:pPr>
        <w:spacing w:line="240" w:lineRule="auto"/>
        <w:jc w:val="both"/>
        <w:rPr>
          <w:rFonts w:asciiTheme="minorHAnsi" w:hAnsiTheme="minorHAnsi"/>
        </w:rPr>
      </w:pPr>
      <w:r w:rsidRPr="007338A5">
        <w:rPr>
          <w:rFonts w:asciiTheme="minorHAnsi" w:eastAsia="Times New Roman" w:hAnsiTheme="minorHAnsi" w:cs="Arial"/>
        </w:rPr>
        <w:t xml:space="preserve">Anna </w:t>
      </w:r>
      <w:proofErr w:type="spellStart"/>
      <w:r w:rsidRPr="007338A5">
        <w:rPr>
          <w:rFonts w:asciiTheme="minorHAnsi" w:eastAsia="Times New Roman" w:hAnsiTheme="minorHAnsi" w:cs="Arial"/>
        </w:rPr>
        <w:t>Przybylska</w:t>
      </w:r>
      <w:proofErr w:type="spellEnd"/>
      <w:r w:rsidRPr="007338A5">
        <w:rPr>
          <w:rFonts w:asciiTheme="minorHAnsi" w:eastAsia="Times New Roman" w:hAnsiTheme="minorHAnsi" w:cs="Arial"/>
        </w:rPr>
        <w:t xml:space="preserve">, Center for Deliberation, </w:t>
      </w:r>
      <w:r w:rsidR="007338A5">
        <w:rPr>
          <w:rFonts w:asciiTheme="minorHAnsi" w:eastAsia="Times New Roman" w:hAnsiTheme="minorHAnsi" w:cs="Arial"/>
        </w:rPr>
        <w:t xml:space="preserve">Institute of Sociology, </w:t>
      </w:r>
      <w:r w:rsidRPr="007338A5">
        <w:rPr>
          <w:rFonts w:asciiTheme="minorHAnsi" w:eastAsia="Times New Roman" w:hAnsiTheme="minorHAnsi" w:cs="Arial"/>
        </w:rPr>
        <w:t xml:space="preserve">University of Warsaw, Poland </w:t>
      </w:r>
    </w:p>
    <w:p w:rsidR="009A1735" w:rsidRPr="007338A5" w:rsidRDefault="009A1735" w:rsidP="007338A5">
      <w:pPr>
        <w:spacing w:line="240" w:lineRule="auto"/>
        <w:jc w:val="both"/>
        <w:rPr>
          <w:rFonts w:asciiTheme="minorHAnsi" w:hAnsiTheme="minorHAnsi"/>
        </w:rPr>
      </w:pPr>
      <w:r w:rsidRPr="007338A5">
        <w:rPr>
          <w:rFonts w:asciiTheme="minorHAnsi" w:eastAsia="Times New Roman" w:hAnsiTheme="minorHAnsi" w:cs="Arial"/>
        </w:rPr>
        <w:t xml:space="preserve">Todd Davies, </w:t>
      </w:r>
      <w:r w:rsidR="007F466B" w:rsidRPr="007338A5">
        <w:rPr>
          <w:rFonts w:asciiTheme="minorHAnsi" w:eastAsia="Times New Roman" w:hAnsiTheme="minorHAnsi" w:cs="Arial"/>
        </w:rPr>
        <w:t>Center for the Study of Language and Information</w:t>
      </w:r>
      <w:r w:rsidRPr="007338A5">
        <w:rPr>
          <w:rFonts w:asciiTheme="minorHAnsi" w:eastAsia="Times New Roman" w:hAnsiTheme="minorHAnsi" w:cs="Arial"/>
        </w:rPr>
        <w:t xml:space="preserve">, Stanford University, USA </w:t>
      </w:r>
    </w:p>
    <w:p w:rsidR="009A1735" w:rsidRPr="007338A5" w:rsidRDefault="009A1735" w:rsidP="007338A5">
      <w:pPr>
        <w:spacing w:line="240" w:lineRule="auto"/>
        <w:jc w:val="both"/>
        <w:rPr>
          <w:rFonts w:asciiTheme="minorHAnsi" w:eastAsia="Times New Roman" w:hAnsiTheme="minorHAnsi" w:cs="Arial"/>
          <w:b/>
        </w:rPr>
      </w:pPr>
      <w:r w:rsidRPr="007338A5">
        <w:rPr>
          <w:rFonts w:asciiTheme="minorHAnsi" w:eastAsia="Times New Roman" w:hAnsiTheme="minorHAnsi" w:cs="Arial"/>
          <w:b/>
        </w:rPr>
        <w:t xml:space="preserve">Exploratory Papers and Technology Demonstrators Chairs: </w:t>
      </w:r>
    </w:p>
    <w:p w:rsidR="009A1735" w:rsidRPr="007338A5" w:rsidRDefault="009A1735" w:rsidP="007338A5">
      <w:pPr>
        <w:spacing w:line="240" w:lineRule="auto"/>
        <w:jc w:val="both"/>
        <w:rPr>
          <w:rFonts w:asciiTheme="minorHAnsi" w:hAnsiTheme="minorHAnsi"/>
        </w:rPr>
      </w:pPr>
      <w:r w:rsidRPr="007338A5">
        <w:rPr>
          <w:rFonts w:asciiTheme="minorHAnsi" w:eastAsia="Times New Roman" w:hAnsiTheme="minorHAnsi" w:cs="Arial"/>
        </w:rPr>
        <w:t>Lu Xiao, School of Information Studies, Syracuse University, USA</w:t>
      </w:r>
    </w:p>
    <w:p w:rsidR="009A1735" w:rsidRPr="007338A5" w:rsidRDefault="009A1735" w:rsidP="007338A5">
      <w:pPr>
        <w:spacing w:line="240" w:lineRule="auto"/>
        <w:jc w:val="both"/>
        <w:rPr>
          <w:rFonts w:asciiTheme="minorHAnsi" w:hAnsiTheme="minorHAnsi"/>
        </w:rPr>
      </w:pPr>
      <w:proofErr w:type="spellStart"/>
      <w:r w:rsidRPr="007338A5">
        <w:rPr>
          <w:rFonts w:asciiTheme="minorHAnsi" w:eastAsia="Times New Roman" w:hAnsiTheme="minorHAnsi" w:cs="Arial"/>
        </w:rPr>
        <w:t>Tatsuro</w:t>
      </w:r>
      <w:proofErr w:type="spellEnd"/>
      <w:r w:rsidRPr="007338A5">
        <w:rPr>
          <w:rFonts w:asciiTheme="minorHAnsi" w:eastAsia="Times New Roman" w:hAnsiTheme="minorHAnsi" w:cs="Arial"/>
        </w:rPr>
        <w:t xml:space="preserve"> </w:t>
      </w:r>
      <w:proofErr w:type="spellStart"/>
      <w:r w:rsidRPr="007338A5">
        <w:rPr>
          <w:rFonts w:asciiTheme="minorHAnsi" w:eastAsia="Times New Roman" w:hAnsiTheme="minorHAnsi" w:cs="Arial"/>
        </w:rPr>
        <w:t>Sakano</w:t>
      </w:r>
      <w:proofErr w:type="spellEnd"/>
      <w:r w:rsidRPr="007338A5">
        <w:rPr>
          <w:rFonts w:asciiTheme="minorHAnsi" w:eastAsia="Times New Roman" w:hAnsiTheme="minorHAnsi" w:cs="Arial"/>
        </w:rPr>
        <w:t>, Department of Social Engineering, Tokyo Technical University, Japan</w:t>
      </w:r>
    </w:p>
    <w:p w:rsidR="009A1735" w:rsidRPr="007338A5" w:rsidRDefault="009A1735" w:rsidP="007338A5">
      <w:pPr>
        <w:spacing w:line="240" w:lineRule="auto"/>
        <w:jc w:val="both"/>
        <w:rPr>
          <w:rFonts w:asciiTheme="minorHAnsi" w:hAnsiTheme="minorHAnsi"/>
        </w:rPr>
      </w:pPr>
      <w:r w:rsidRPr="007338A5">
        <w:rPr>
          <w:rFonts w:asciiTheme="minorHAnsi" w:eastAsia="Times New Roman" w:hAnsiTheme="minorHAnsi" w:cs="Arial"/>
          <w:b/>
          <w:bCs/>
        </w:rPr>
        <w:t> </w:t>
      </w:r>
    </w:p>
    <w:p w:rsidR="009A1735" w:rsidRPr="007338A5" w:rsidRDefault="009A1735" w:rsidP="007338A5">
      <w:pPr>
        <w:spacing w:line="240" w:lineRule="auto"/>
        <w:jc w:val="both"/>
        <w:rPr>
          <w:rFonts w:asciiTheme="minorHAnsi" w:hAnsiTheme="minorHAnsi"/>
        </w:rPr>
      </w:pPr>
      <w:r w:rsidRPr="007338A5">
        <w:rPr>
          <w:rFonts w:asciiTheme="minorHAnsi" w:eastAsia="Times New Roman" w:hAnsiTheme="minorHAnsi" w:cs="Arial"/>
          <w:b/>
          <w:bCs/>
        </w:rPr>
        <w:t>Contact Details:</w:t>
      </w:r>
    </w:p>
    <w:p w:rsidR="009A1735" w:rsidRPr="007338A5" w:rsidRDefault="009A1735" w:rsidP="007338A5">
      <w:pPr>
        <w:spacing w:line="240" w:lineRule="auto"/>
        <w:jc w:val="both"/>
        <w:rPr>
          <w:rFonts w:asciiTheme="minorHAnsi" w:hAnsiTheme="minorHAnsi"/>
        </w:rPr>
      </w:pPr>
      <w:r w:rsidRPr="007338A5">
        <w:rPr>
          <w:rFonts w:asciiTheme="minorHAnsi" w:eastAsia="Times New Roman" w:hAnsiTheme="minorHAnsi" w:cs="Arial"/>
        </w:rPr>
        <w:t xml:space="preserve">For further information please email: </w:t>
      </w:r>
      <w:hyperlink r:id="rId5" w:history="1">
        <w:r w:rsidRPr="007338A5">
          <w:rPr>
            <w:rStyle w:val="Hipercze"/>
            <w:rFonts w:asciiTheme="minorHAnsi" w:eastAsia="Times New Roman" w:hAnsiTheme="minorHAnsi" w:cs="Arial"/>
          </w:rPr>
          <w:t>2017ddm@gmail.com</w:t>
        </w:r>
      </w:hyperlink>
      <w:r w:rsidRPr="007338A5">
        <w:rPr>
          <w:rFonts w:asciiTheme="minorHAnsi" w:eastAsia="Times New Roman" w:hAnsiTheme="minorHAnsi" w:cs="Arial"/>
        </w:rPr>
        <w:t xml:space="preserve">   </w:t>
      </w:r>
    </w:p>
    <w:p w:rsidR="009A1735" w:rsidRPr="007338A5" w:rsidRDefault="009A1735" w:rsidP="007338A5">
      <w:pPr>
        <w:spacing w:line="240" w:lineRule="auto"/>
        <w:jc w:val="both"/>
        <w:rPr>
          <w:rFonts w:asciiTheme="minorHAnsi" w:eastAsia="Times New Roman" w:hAnsiTheme="minorHAnsi" w:cs="Arial"/>
          <w:b/>
          <w:bCs/>
        </w:rPr>
      </w:pPr>
    </w:p>
    <w:p w:rsidR="004A6354" w:rsidRPr="007338A5" w:rsidRDefault="004A6354" w:rsidP="007338A5">
      <w:pPr>
        <w:spacing w:line="240" w:lineRule="auto"/>
        <w:jc w:val="both"/>
        <w:rPr>
          <w:rFonts w:asciiTheme="minorHAnsi" w:eastAsia="Times New Roman" w:hAnsiTheme="minorHAnsi" w:cs="Arial"/>
          <w:b/>
          <w:bCs/>
        </w:rPr>
      </w:pPr>
      <w:r w:rsidRPr="007338A5">
        <w:rPr>
          <w:rFonts w:asciiTheme="minorHAnsi" w:eastAsia="Times New Roman" w:hAnsiTheme="minorHAnsi" w:cs="Arial"/>
          <w:b/>
          <w:bCs/>
        </w:rPr>
        <w:t>Submission site (open on January 1, 2017):</w:t>
      </w:r>
    </w:p>
    <w:p w:rsidR="004A6354" w:rsidRPr="007338A5" w:rsidRDefault="003C42F2" w:rsidP="007338A5">
      <w:pPr>
        <w:spacing w:line="240" w:lineRule="auto"/>
        <w:jc w:val="both"/>
        <w:rPr>
          <w:rFonts w:asciiTheme="minorHAnsi" w:eastAsia="Times New Roman" w:hAnsiTheme="minorHAnsi" w:cs="Arial"/>
          <w:bCs/>
        </w:rPr>
      </w:pPr>
      <w:hyperlink r:id="rId6" w:history="1">
        <w:r w:rsidR="004A6354" w:rsidRPr="007338A5">
          <w:rPr>
            <w:rStyle w:val="Hipercze"/>
            <w:rFonts w:asciiTheme="minorHAnsi" w:hAnsiTheme="minorHAnsi"/>
            <w:bCs/>
            <w:shd w:val="clear" w:color="auto" w:fill="FFFFFF"/>
          </w:rPr>
          <w:t>https://easychair.org/conferences/?conf=ddm2017</w:t>
        </w:r>
      </w:hyperlink>
      <w:r w:rsidR="004A6354" w:rsidRPr="007338A5">
        <w:rPr>
          <w:rFonts w:asciiTheme="minorHAnsi" w:hAnsiTheme="minorHAnsi"/>
          <w:bCs/>
          <w:shd w:val="clear" w:color="auto" w:fill="FFFFFF"/>
        </w:rPr>
        <w:t xml:space="preserve"> </w:t>
      </w:r>
    </w:p>
    <w:p w:rsidR="004A6354" w:rsidRPr="007338A5" w:rsidRDefault="004A6354" w:rsidP="00F73741">
      <w:pPr>
        <w:spacing w:line="240" w:lineRule="auto"/>
        <w:rPr>
          <w:rFonts w:asciiTheme="minorHAnsi" w:eastAsia="Times New Roman" w:hAnsiTheme="minorHAnsi" w:cs="Arial"/>
          <w:b/>
          <w:bCs/>
        </w:rPr>
      </w:pPr>
    </w:p>
    <w:p w:rsidR="005D3CEE" w:rsidRPr="007338A5" w:rsidRDefault="005D3CEE" w:rsidP="00F73741">
      <w:pPr>
        <w:spacing w:line="240" w:lineRule="auto"/>
        <w:rPr>
          <w:rFonts w:asciiTheme="minorHAnsi" w:eastAsia="Times New Roman" w:hAnsiTheme="minorHAnsi" w:cs="Arial"/>
          <w:b/>
          <w:bCs/>
        </w:rPr>
      </w:pPr>
      <w:r w:rsidRPr="007338A5">
        <w:rPr>
          <w:rFonts w:asciiTheme="minorHAnsi" w:eastAsia="Times New Roman" w:hAnsiTheme="minorHAnsi" w:cs="Arial"/>
          <w:b/>
          <w:bCs/>
        </w:rPr>
        <w:t>Important Dates</w:t>
      </w:r>
    </w:p>
    <w:tbl>
      <w:tblPr>
        <w:tblStyle w:val="Tabela-Siatka"/>
        <w:tblW w:w="9415" w:type="dxa"/>
        <w:tblLook w:val="04A0"/>
      </w:tblPr>
      <w:tblGrid>
        <w:gridCol w:w="2659"/>
        <w:gridCol w:w="6756"/>
      </w:tblGrid>
      <w:tr w:rsidR="005D3CEE" w:rsidRPr="007338A5" w:rsidTr="005D3CEE">
        <w:trPr>
          <w:trHeight w:val="528"/>
        </w:trPr>
        <w:tc>
          <w:tcPr>
            <w:tcW w:w="2659" w:type="dxa"/>
          </w:tcPr>
          <w:p w:rsidR="005D3CEE" w:rsidRPr="007338A5" w:rsidRDefault="005D3CEE" w:rsidP="007338A5">
            <w:pPr>
              <w:spacing w:before="120" w:line="240" w:lineRule="auto"/>
              <w:rPr>
                <w:rFonts w:asciiTheme="minorHAnsi" w:eastAsia="Times New Roman" w:hAnsiTheme="minorHAnsi" w:cs="Arial"/>
                <w:sz w:val="24"/>
                <w:szCs w:val="24"/>
              </w:rPr>
            </w:pPr>
            <w:r w:rsidRPr="007338A5">
              <w:rPr>
                <w:rFonts w:asciiTheme="minorHAnsi" w:eastAsia="Times New Roman" w:hAnsiTheme="minorHAnsi" w:cs="Arial"/>
                <w:sz w:val="24"/>
                <w:szCs w:val="24"/>
              </w:rPr>
              <w:t>January 1 2017</w:t>
            </w:r>
          </w:p>
        </w:tc>
        <w:tc>
          <w:tcPr>
            <w:tcW w:w="6756" w:type="dxa"/>
          </w:tcPr>
          <w:p w:rsidR="005D3CEE" w:rsidRPr="007338A5" w:rsidRDefault="005D3CEE" w:rsidP="007338A5">
            <w:pPr>
              <w:spacing w:before="120" w:line="240" w:lineRule="auto"/>
              <w:rPr>
                <w:rFonts w:asciiTheme="minorHAnsi" w:eastAsia="Times New Roman" w:hAnsiTheme="minorHAnsi" w:cs="Arial"/>
                <w:sz w:val="24"/>
                <w:szCs w:val="24"/>
              </w:rPr>
            </w:pPr>
            <w:r w:rsidRPr="007338A5">
              <w:rPr>
                <w:rFonts w:asciiTheme="minorHAnsi" w:eastAsia="Times New Roman" w:hAnsiTheme="minorHAnsi" w:cs="Arial"/>
                <w:sz w:val="24"/>
                <w:szCs w:val="24"/>
              </w:rPr>
              <w:t>Submission system available</w:t>
            </w:r>
          </w:p>
        </w:tc>
      </w:tr>
      <w:tr w:rsidR="005D3CEE" w:rsidRPr="007338A5" w:rsidTr="005D3CEE">
        <w:trPr>
          <w:trHeight w:val="521"/>
        </w:trPr>
        <w:tc>
          <w:tcPr>
            <w:tcW w:w="2659" w:type="dxa"/>
          </w:tcPr>
          <w:p w:rsidR="005D3CEE" w:rsidRPr="007338A5" w:rsidRDefault="005D3CEE" w:rsidP="007338A5">
            <w:pPr>
              <w:spacing w:before="120" w:line="240" w:lineRule="auto"/>
              <w:rPr>
                <w:rFonts w:asciiTheme="minorHAnsi" w:eastAsia="Times New Roman" w:hAnsiTheme="minorHAnsi" w:cs="Arial"/>
                <w:sz w:val="24"/>
                <w:szCs w:val="24"/>
              </w:rPr>
            </w:pPr>
            <w:r w:rsidRPr="007338A5">
              <w:rPr>
                <w:rFonts w:asciiTheme="minorHAnsi" w:eastAsia="Times New Roman" w:hAnsiTheme="minorHAnsi" w:cs="Arial"/>
                <w:b/>
                <w:sz w:val="24"/>
                <w:szCs w:val="24"/>
              </w:rPr>
              <w:t>March 15, 2017</w:t>
            </w:r>
          </w:p>
        </w:tc>
        <w:tc>
          <w:tcPr>
            <w:tcW w:w="6756" w:type="dxa"/>
          </w:tcPr>
          <w:p w:rsidR="005D3CEE" w:rsidRPr="007338A5" w:rsidRDefault="005D3CEE" w:rsidP="007338A5">
            <w:pPr>
              <w:spacing w:before="120" w:line="240" w:lineRule="auto"/>
              <w:rPr>
                <w:rFonts w:asciiTheme="minorHAnsi" w:eastAsia="Times New Roman" w:hAnsiTheme="minorHAnsi" w:cs="Arial"/>
                <w:sz w:val="24"/>
                <w:szCs w:val="24"/>
              </w:rPr>
            </w:pPr>
            <w:r w:rsidRPr="007338A5">
              <w:rPr>
                <w:rFonts w:asciiTheme="minorHAnsi" w:eastAsia="Times New Roman" w:hAnsiTheme="minorHAnsi" w:cs="Arial"/>
                <w:b/>
                <w:sz w:val="24"/>
                <w:szCs w:val="24"/>
              </w:rPr>
              <w:t>Research papers &amp; panel proposals due</w:t>
            </w:r>
          </w:p>
        </w:tc>
      </w:tr>
      <w:tr w:rsidR="005D3CEE" w:rsidRPr="007338A5" w:rsidTr="005D3CEE">
        <w:trPr>
          <w:trHeight w:val="528"/>
        </w:trPr>
        <w:tc>
          <w:tcPr>
            <w:tcW w:w="2659" w:type="dxa"/>
          </w:tcPr>
          <w:p w:rsidR="005D3CEE" w:rsidRPr="007338A5" w:rsidRDefault="00140C47" w:rsidP="007338A5">
            <w:pPr>
              <w:spacing w:before="120" w:line="240" w:lineRule="auto"/>
              <w:rPr>
                <w:rFonts w:asciiTheme="minorHAnsi" w:eastAsia="Times New Roman" w:hAnsiTheme="minorHAnsi" w:cs="Arial"/>
                <w:sz w:val="24"/>
                <w:szCs w:val="24"/>
              </w:rPr>
            </w:pPr>
            <w:r w:rsidRPr="007338A5">
              <w:rPr>
                <w:rFonts w:asciiTheme="minorHAnsi" w:eastAsia="Times New Roman" w:hAnsiTheme="minorHAnsi" w:cs="Arial"/>
                <w:b/>
                <w:sz w:val="24"/>
                <w:szCs w:val="24"/>
              </w:rPr>
              <w:t>March 30</w:t>
            </w:r>
            <w:r w:rsidR="005D3CEE" w:rsidRPr="007338A5">
              <w:rPr>
                <w:rFonts w:asciiTheme="minorHAnsi" w:eastAsia="Times New Roman" w:hAnsiTheme="minorHAnsi" w:cs="Arial"/>
                <w:b/>
                <w:sz w:val="24"/>
                <w:szCs w:val="24"/>
              </w:rPr>
              <w:t>, 2017</w:t>
            </w:r>
          </w:p>
        </w:tc>
        <w:tc>
          <w:tcPr>
            <w:tcW w:w="6756" w:type="dxa"/>
          </w:tcPr>
          <w:p w:rsidR="005D3CEE" w:rsidRPr="007338A5" w:rsidRDefault="005D3CEE" w:rsidP="007338A5">
            <w:pPr>
              <w:spacing w:before="120" w:line="240" w:lineRule="auto"/>
              <w:rPr>
                <w:rFonts w:asciiTheme="minorHAnsi" w:eastAsia="Times New Roman" w:hAnsiTheme="minorHAnsi" w:cs="Arial"/>
                <w:sz w:val="24"/>
                <w:szCs w:val="24"/>
              </w:rPr>
            </w:pPr>
            <w:r w:rsidRPr="007338A5">
              <w:rPr>
                <w:rFonts w:asciiTheme="minorHAnsi" w:eastAsia="Times New Roman" w:hAnsiTheme="minorHAnsi" w:cs="Arial"/>
                <w:b/>
                <w:sz w:val="24"/>
                <w:szCs w:val="24"/>
              </w:rPr>
              <w:t>Exploratory papers &amp; technology demonstrators due</w:t>
            </w:r>
          </w:p>
        </w:tc>
      </w:tr>
      <w:tr w:rsidR="005D3CEE" w:rsidRPr="007338A5" w:rsidTr="005D3CEE">
        <w:trPr>
          <w:trHeight w:val="521"/>
        </w:trPr>
        <w:tc>
          <w:tcPr>
            <w:tcW w:w="2659" w:type="dxa"/>
          </w:tcPr>
          <w:p w:rsidR="005D3CEE" w:rsidRPr="007338A5" w:rsidRDefault="005D3CEE" w:rsidP="007338A5">
            <w:pPr>
              <w:spacing w:before="120" w:line="240" w:lineRule="auto"/>
              <w:rPr>
                <w:rFonts w:asciiTheme="minorHAnsi" w:eastAsia="Times New Roman" w:hAnsiTheme="minorHAnsi" w:cs="Arial"/>
                <w:sz w:val="24"/>
                <w:szCs w:val="24"/>
              </w:rPr>
            </w:pPr>
            <w:r w:rsidRPr="007338A5">
              <w:rPr>
                <w:rFonts w:asciiTheme="minorHAnsi" w:eastAsia="Times New Roman" w:hAnsiTheme="minorHAnsi" w:cs="Arial"/>
                <w:sz w:val="24"/>
                <w:szCs w:val="24"/>
              </w:rPr>
              <w:t>April</w:t>
            </w:r>
            <w:r w:rsidR="00962EF5" w:rsidRPr="007338A5">
              <w:rPr>
                <w:rFonts w:asciiTheme="minorHAnsi" w:eastAsia="Times New Roman" w:hAnsiTheme="minorHAnsi" w:cs="Arial"/>
                <w:sz w:val="24"/>
                <w:szCs w:val="24"/>
              </w:rPr>
              <w:t xml:space="preserve"> 30</w:t>
            </w:r>
            <w:r w:rsidRPr="007338A5">
              <w:rPr>
                <w:rFonts w:asciiTheme="minorHAnsi" w:eastAsia="Times New Roman" w:hAnsiTheme="minorHAnsi" w:cs="Arial"/>
                <w:sz w:val="24"/>
                <w:szCs w:val="24"/>
              </w:rPr>
              <w:t>, 2017      </w:t>
            </w:r>
          </w:p>
        </w:tc>
        <w:tc>
          <w:tcPr>
            <w:tcW w:w="6756" w:type="dxa"/>
          </w:tcPr>
          <w:p w:rsidR="005D3CEE" w:rsidRPr="007338A5" w:rsidRDefault="005D3CEE" w:rsidP="007338A5">
            <w:pPr>
              <w:spacing w:before="120" w:line="240" w:lineRule="auto"/>
              <w:rPr>
                <w:rFonts w:asciiTheme="minorHAnsi" w:eastAsia="Times New Roman" w:hAnsiTheme="minorHAnsi" w:cs="Arial"/>
                <w:sz w:val="24"/>
                <w:szCs w:val="24"/>
              </w:rPr>
            </w:pPr>
            <w:r w:rsidRPr="007338A5">
              <w:rPr>
                <w:rFonts w:asciiTheme="minorHAnsi" w:eastAsia="Times New Roman" w:hAnsiTheme="minorHAnsi" w:cs="Arial"/>
                <w:sz w:val="24"/>
                <w:szCs w:val="24"/>
              </w:rPr>
              <w:t>Notices of acceptances</w:t>
            </w:r>
          </w:p>
        </w:tc>
      </w:tr>
      <w:tr w:rsidR="005D3CEE" w:rsidRPr="007338A5" w:rsidTr="005D3CEE">
        <w:trPr>
          <w:trHeight w:val="528"/>
        </w:trPr>
        <w:tc>
          <w:tcPr>
            <w:tcW w:w="2659" w:type="dxa"/>
          </w:tcPr>
          <w:p w:rsidR="005D3CEE" w:rsidRPr="007338A5" w:rsidRDefault="005D3CEE" w:rsidP="007338A5">
            <w:pPr>
              <w:spacing w:before="120" w:line="240" w:lineRule="auto"/>
              <w:rPr>
                <w:rFonts w:asciiTheme="minorHAnsi" w:eastAsia="Times New Roman" w:hAnsiTheme="minorHAnsi" w:cs="Arial"/>
                <w:sz w:val="24"/>
                <w:szCs w:val="24"/>
              </w:rPr>
            </w:pPr>
            <w:r w:rsidRPr="007338A5">
              <w:rPr>
                <w:rFonts w:asciiTheme="minorHAnsi" w:eastAsia="Times New Roman" w:hAnsiTheme="minorHAnsi" w:cs="Arial"/>
                <w:sz w:val="24"/>
                <w:szCs w:val="24"/>
              </w:rPr>
              <w:t>May 1, 2017</w:t>
            </w:r>
          </w:p>
        </w:tc>
        <w:tc>
          <w:tcPr>
            <w:tcW w:w="6756" w:type="dxa"/>
          </w:tcPr>
          <w:p w:rsidR="005D3CEE" w:rsidRPr="007338A5" w:rsidRDefault="005D3CEE" w:rsidP="007338A5">
            <w:pPr>
              <w:spacing w:before="120" w:line="240" w:lineRule="auto"/>
              <w:rPr>
                <w:rFonts w:asciiTheme="minorHAnsi" w:eastAsia="Times New Roman" w:hAnsiTheme="minorHAnsi" w:cs="Arial"/>
                <w:sz w:val="24"/>
                <w:szCs w:val="24"/>
              </w:rPr>
            </w:pPr>
            <w:r w:rsidRPr="007338A5">
              <w:rPr>
                <w:rFonts w:asciiTheme="minorHAnsi" w:eastAsia="Times New Roman" w:hAnsiTheme="minorHAnsi" w:cs="Arial"/>
                <w:sz w:val="24"/>
                <w:szCs w:val="24"/>
              </w:rPr>
              <w:t>Registration begins</w:t>
            </w:r>
          </w:p>
        </w:tc>
      </w:tr>
      <w:tr w:rsidR="005D3CEE" w:rsidRPr="007338A5" w:rsidTr="005D3CEE">
        <w:trPr>
          <w:trHeight w:val="528"/>
        </w:trPr>
        <w:tc>
          <w:tcPr>
            <w:tcW w:w="2659" w:type="dxa"/>
          </w:tcPr>
          <w:p w:rsidR="005D3CEE" w:rsidRPr="007338A5" w:rsidRDefault="00962EF5" w:rsidP="007338A5">
            <w:pPr>
              <w:spacing w:before="120" w:line="240" w:lineRule="auto"/>
              <w:rPr>
                <w:rFonts w:asciiTheme="minorHAnsi" w:eastAsia="Times New Roman" w:hAnsiTheme="minorHAnsi" w:cs="Arial"/>
                <w:b/>
                <w:sz w:val="24"/>
                <w:szCs w:val="24"/>
              </w:rPr>
            </w:pPr>
            <w:r w:rsidRPr="007338A5">
              <w:rPr>
                <w:rFonts w:asciiTheme="minorHAnsi" w:eastAsia="Times New Roman" w:hAnsiTheme="minorHAnsi" w:cs="Arial"/>
                <w:b/>
                <w:sz w:val="24"/>
                <w:szCs w:val="24"/>
              </w:rPr>
              <w:t>May 30</w:t>
            </w:r>
            <w:r w:rsidR="005D3CEE" w:rsidRPr="007338A5">
              <w:rPr>
                <w:rFonts w:asciiTheme="minorHAnsi" w:eastAsia="Times New Roman" w:hAnsiTheme="minorHAnsi" w:cs="Arial"/>
                <w:b/>
                <w:sz w:val="24"/>
                <w:szCs w:val="24"/>
              </w:rPr>
              <w:t>, 2017</w:t>
            </w:r>
          </w:p>
        </w:tc>
        <w:tc>
          <w:tcPr>
            <w:tcW w:w="6756" w:type="dxa"/>
          </w:tcPr>
          <w:p w:rsidR="005D3CEE" w:rsidRPr="007338A5" w:rsidRDefault="006B192B" w:rsidP="007338A5">
            <w:pPr>
              <w:spacing w:before="120" w:line="240" w:lineRule="auto"/>
              <w:rPr>
                <w:rFonts w:asciiTheme="minorHAnsi" w:eastAsia="Times New Roman" w:hAnsiTheme="minorHAnsi" w:cs="Arial"/>
                <w:b/>
                <w:sz w:val="24"/>
                <w:szCs w:val="24"/>
              </w:rPr>
            </w:pPr>
            <w:r w:rsidRPr="007338A5">
              <w:rPr>
                <w:rFonts w:asciiTheme="minorHAnsi" w:eastAsia="Times New Roman" w:hAnsiTheme="minorHAnsi" w:cs="Arial"/>
                <w:b/>
                <w:sz w:val="24"/>
                <w:szCs w:val="24"/>
              </w:rPr>
              <w:t>Revised</w:t>
            </w:r>
            <w:r w:rsidR="005D3CEE" w:rsidRPr="007338A5">
              <w:rPr>
                <w:rFonts w:asciiTheme="minorHAnsi" w:eastAsia="Times New Roman" w:hAnsiTheme="minorHAnsi" w:cs="Arial"/>
                <w:b/>
                <w:sz w:val="24"/>
                <w:szCs w:val="24"/>
              </w:rPr>
              <w:t xml:space="preserve"> research and exploratory papers due</w:t>
            </w:r>
          </w:p>
        </w:tc>
      </w:tr>
      <w:tr w:rsidR="005D3CEE" w:rsidRPr="007338A5" w:rsidTr="005D3CEE">
        <w:trPr>
          <w:trHeight w:val="521"/>
        </w:trPr>
        <w:tc>
          <w:tcPr>
            <w:tcW w:w="2659" w:type="dxa"/>
          </w:tcPr>
          <w:p w:rsidR="005D3CEE" w:rsidRPr="007338A5" w:rsidRDefault="005D3CEE" w:rsidP="007338A5">
            <w:pPr>
              <w:spacing w:before="120" w:line="240" w:lineRule="auto"/>
              <w:rPr>
                <w:rFonts w:asciiTheme="minorHAnsi" w:eastAsia="Times New Roman" w:hAnsiTheme="minorHAnsi" w:cs="Arial"/>
                <w:sz w:val="24"/>
                <w:szCs w:val="24"/>
              </w:rPr>
            </w:pPr>
            <w:r w:rsidRPr="007338A5">
              <w:rPr>
                <w:rFonts w:asciiTheme="minorHAnsi" w:eastAsia="Times New Roman" w:hAnsiTheme="minorHAnsi" w:cs="Arial"/>
                <w:sz w:val="24"/>
                <w:szCs w:val="24"/>
              </w:rPr>
              <w:t>June 23 – 24, 2017</w:t>
            </w:r>
          </w:p>
        </w:tc>
        <w:tc>
          <w:tcPr>
            <w:tcW w:w="6756" w:type="dxa"/>
          </w:tcPr>
          <w:p w:rsidR="005D3CEE" w:rsidRPr="007338A5" w:rsidRDefault="005D3CEE" w:rsidP="007338A5">
            <w:pPr>
              <w:spacing w:before="120" w:line="240" w:lineRule="auto"/>
              <w:rPr>
                <w:rFonts w:asciiTheme="minorHAnsi" w:eastAsia="Times New Roman" w:hAnsiTheme="minorHAnsi" w:cs="Arial"/>
                <w:sz w:val="24"/>
                <w:szCs w:val="24"/>
              </w:rPr>
            </w:pPr>
            <w:r w:rsidRPr="007338A5">
              <w:rPr>
                <w:rFonts w:asciiTheme="minorHAnsi" w:eastAsia="Times New Roman" w:hAnsiTheme="minorHAnsi" w:cs="Arial"/>
                <w:sz w:val="24"/>
                <w:szCs w:val="24"/>
              </w:rPr>
              <w:t>Conference</w:t>
            </w:r>
          </w:p>
        </w:tc>
      </w:tr>
    </w:tbl>
    <w:p w:rsidR="005D3CEE" w:rsidRPr="007338A5" w:rsidRDefault="005D3CEE" w:rsidP="007338A5">
      <w:pPr>
        <w:spacing w:before="240" w:line="240" w:lineRule="auto"/>
        <w:rPr>
          <w:rFonts w:asciiTheme="minorHAnsi" w:hAnsiTheme="minorHAnsi"/>
        </w:rPr>
      </w:pPr>
      <w:r w:rsidRPr="007338A5">
        <w:rPr>
          <w:rFonts w:asciiTheme="minorHAnsi" w:eastAsia="Times New Roman" w:hAnsiTheme="minorHAnsi" w:cs="Arial"/>
        </w:rPr>
        <w:t xml:space="preserve">             </w:t>
      </w:r>
    </w:p>
    <w:p w:rsidR="005D3CEE" w:rsidRPr="007338A5" w:rsidRDefault="005D3CEE" w:rsidP="00F73741">
      <w:pPr>
        <w:spacing w:line="240" w:lineRule="auto"/>
        <w:rPr>
          <w:rFonts w:asciiTheme="minorHAnsi" w:hAnsiTheme="minorHAnsi"/>
        </w:rPr>
      </w:pPr>
    </w:p>
    <w:sectPr w:rsidR="005D3CEE" w:rsidRPr="007338A5" w:rsidSect="00B653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74691"/>
    <w:multiLevelType w:val="multilevel"/>
    <w:tmpl w:val="CA3A9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7C572EE"/>
    <w:multiLevelType w:val="multilevel"/>
    <w:tmpl w:val="ABFEB4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5D3CEE"/>
    <w:rsid w:val="00140C47"/>
    <w:rsid w:val="002C7C2E"/>
    <w:rsid w:val="003C42F2"/>
    <w:rsid w:val="004A6354"/>
    <w:rsid w:val="004F516A"/>
    <w:rsid w:val="005D3CEE"/>
    <w:rsid w:val="006B192B"/>
    <w:rsid w:val="007338A5"/>
    <w:rsid w:val="007F466B"/>
    <w:rsid w:val="0093789D"/>
    <w:rsid w:val="00962EF5"/>
    <w:rsid w:val="009A1735"/>
    <w:rsid w:val="00B6536F"/>
    <w:rsid w:val="00C84A3A"/>
    <w:rsid w:val="00E5708B"/>
    <w:rsid w:val="00F737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D3CEE"/>
    <w:pPr>
      <w:tabs>
        <w:tab w:val="left" w:pos="720"/>
      </w:tabs>
      <w:suppressAutoHyphens/>
      <w:spacing w:after="0" w:line="100" w:lineRule="atLeast"/>
    </w:pPr>
    <w:rPr>
      <w:rFonts w:ascii="Times New Roman" w:eastAsia="WenQuanYi Micro Hei" w:hAnsi="Times New Roman"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D3CEE"/>
    <w:rPr>
      <w:color w:val="0563C1" w:themeColor="hyperlink"/>
      <w:u w:val="single"/>
    </w:rPr>
  </w:style>
  <w:style w:type="table" w:styleId="Tabela-Siatka">
    <w:name w:val="Table Grid"/>
    <w:basedOn w:val="Standardowy"/>
    <w:uiPriority w:val="39"/>
    <w:rsid w:val="005D3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sychair.org/conferences/?conf=ddm2017" TargetMode="External"/><Relationship Id="rId5" Type="http://schemas.openxmlformats.org/officeDocument/2006/relationships/hyperlink" Target="mailto:2017dd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Weiyu</dc:creator>
  <cp:lastModifiedBy>PIOTR</cp:lastModifiedBy>
  <cp:revision>2</cp:revision>
  <dcterms:created xsi:type="dcterms:W3CDTF">2017-01-01T14:18:00Z</dcterms:created>
  <dcterms:modified xsi:type="dcterms:W3CDTF">2017-01-01T14:18:00Z</dcterms:modified>
</cp:coreProperties>
</file>